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6BDD" w14:textId="77777777" w:rsidR="00562769" w:rsidRPr="00562769" w:rsidRDefault="00562769" w:rsidP="00562769">
      <w:pPr>
        <w:spacing w:after="0" w:line="260" w:lineRule="atLeast"/>
        <w:jc w:val="center"/>
        <w:rPr>
          <w:rFonts w:ascii="Garamond" w:eastAsia="Calibri" w:hAnsi="Garamond" w:cs="Times New Roman"/>
          <w:b/>
          <w:sz w:val="24"/>
          <w:szCs w:val="24"/>
          <w:lang w:eastAsia="nl-NL"/>
        </w:rPr>
      </w:pPr>
      <w:r w:rsidRPr="00562769">
        <w:rPr>
          <w:rFonts w:ascii="Garamond" w:eastAsia="Calibri" w:hAnsi="Garamond" w:cs="Times New Roman"/>
          <w:b/>
          <w:sz w:val="24"/>
          <w:szCs w:val="24"/>
          <w:lang w:eastAsia="nl-NL"/>
        </w:rPr>
        <w:t>Reglement intern toezicht</w:t>
      </w:r>
    </w:p>
    <w:p w14:paraId="624AE62F"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6E6D7E4D"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79933905"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1FFF6822" w14:textId="77777777" w:rsidR="00562769" w:rsidRPr="00562769" w:rsidRDefault="00562769" w:rsidP="00562769">
      <w:pPr>
        <w:spacing w:after="0" w:line="260" w:lineRule="atLeast"/>
        <w:jc w:val="center"/>
        <w:rPr>
          <w:rFonts w:ascii="Garamond" w:eastAsia="Calibri" w:hAnsi="Garamond" w:cs="Times New Roman"/>
          <w:sz w:val="24"/>
          <w:szCs w:val="24"/>
          <w:lang w:eastAsia="nl-NL"/>
        </w:rPr>
      </w:pPr>
      <w:r w:rsidRPr="00562769">
        <w:rPr>
          <w:rFonts w:ascii="Garamond" w:eastAsia="Calibri" w:hAnsi="Garamond" w:cs="Times New Roman"/>
          <w:sz w:val="24"/>
          <w:szCs w:val="24"/>
          <w:lang w:eastAsia="nl-NL"/>
        </w:rPr>
        <w:t>de raad van toezicht van ……………………….. (naam rechtspersoon)</w:t>
      </w:r>
    </w:p>
    <w:p w14:paraId="244AA8CF"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5F3AD97A"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6FB5F3B6" w14:textId="77777777"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sz w:val="24"/>
          <w:szCs w:val="24"/>
          <w:lang w:eastAsia="nl-NL"/>
        </w:rPr>
        <w:t xml:space="preserve">besluit – gelet op richtlijn 23 van de “Code Goed Onderwijsbestuur VO” d.d. 4 juni 2015 en artikel …. van de statuten van de stichting – tot vaststelling van het onderstaande “Reglement intern toezicht”  </w:t>
      </w:r>
    </w:p>
    <w:p w14:paraId="32537784"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471CDA18"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38E7AE13"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  1</w:t>
      </w:r>
      <w:r w:rsidRPr="00562769">
        <w:rPr>
          <w:rFonts w:ascii="Garamond" w:eastAsia="Times New Roman" w:hAnsi="Garamond" w:cs="Times New Roman"/>
          <w:i/>
          <w:sz w:val="24"/>
          <w:szCs w:val="24"/>
          <w:lang w:eastAsia="nl-NL"/>
        </w:rPr>
        <w:tab/>
        <w:t>Algemene bepalingen</w:t>
      </w:r>
    </w:p>
    <w:p w14:paraId="2B0DE333"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4ED1DC44" w14:textId="77777777" w:rsidR="00562769" w:rsidRPr="00562769" w:rsidRDefault="00562769" w:rsidP="00562769">
      <w:pPr>
        <w:spacing w:after="0" w:line="260" w:lineRule="atLeast"/>
        <w:rPr>
          <w:rFonts w:ascii="Garamond" w:eastAsia="Calibri" w:hAnsi="Garamond" w:cs="Times New Roman"/>
          <w:b/>
          <w:sz w:val="24"/>
          <w:szCs w:val="24"/>
          <w:lang w:eastAsia="nl-NL"/>
        </w:rPr>
      </w:pPr>
      <w:r w:rsidRPr="00562769">
        <w:rPr>
          <w:rFonts w:ascii="Garamond" w:eastAsia="Calibri" w:hAnsi="Garamond" w:cs="Times New Roman"/>
          <w:b/>
          <w:sz w:val="24"/>
          <w:szCs w:val="24"/>
          <w:lang w:eastAsia="nl-NL"/>
        </w:rPr>
        <w:t>Artikel 1</w:t>
      </w:r>
      <w:r w:rsidRPr="00562769">
        <w:rPr>
          <w:rFonts w:ascii="Garamond" w:eastAsia="Calibri" w:hAnsi="Garamond" w:cs="Times New Roman"/>
          <w:b/>
          <w:sz w:val="24"/>
          <w:szCs w:val="24"/>
          <w:lang w:eastAsia="nl-NL"/>
        </w:rPr>
        <w:tab/>
        <w:t>Begripsbepalingen</w:t>
      </w:r>
    </w:p>
    <w:p w14:paraId="53D2084E" w14:textId="7BA4FD1C" w:rsidR="00562769" w:rsidRPr="00562769" w:rsidRDefault="00562769" w:rsidP="004F3750">
      <w:pPr>
        <w:spacing w:after="0" w:line="260" w:lineRule="atLeast"/>
        <w:ind w:left="2127" w:hanging="2127"/>
        <w:rPr>
          <w:rFonts w:ascii="Garamond" w:eastAsia="Calibri" w:hAnsi="Garamond" w:cs="Times New Roman"/>
          <w:sz w:val="24"/>
          <w:szCs w:val="24"/>
          <w:lang w:eastAsia="nl-NL"/>
        </w:rPr>
      </w:pPr>
      <w:r w:rsidRPr="00562769">
        <w:rPr>
          <w:rFonts w:ascii="Garamond" w:eastAsia="Calibri" w:hAnsi="Garamond" w:cs="Times New Roman"/>
          <w:i/>
          <w:sz w:val="24"/>
          <w:szCs w:val="24"/>
          <w:lang w:eastAsia="nl-NL"/>
        </w:rPr>
        <w:t>college van bestuur</w:t>
      </w:r>
      <w:r w:rsidRPr="00562769">
        <w:rPr>
          <w:rFonts w:ascii="Garamond" w:eastAsia="Calibri" w:hAnsi="Garamond" w:cs="Times New Roman"/>
          <w:sz w:val="24"/>
          <w:szCs w:val="24"/>
          <w:lang w:eastAsia="nl-NL"/>
        </w:rPr>
        <w:t xml:space="preserve">: </w:t>
      </w:r>
      <w:r w:rsidR="004F3750">
        <w:rPr>
          <w:rFonts w:ascii="Garamond" w:eastAsia="Calibri" w:hAnsi="Garamond" w:cs="Times New Roman"/>
          <w:sz w:val="24"/>
          <w:szCs w:val="24"/>
          <w:lang w:eastAsia="nl-NL"/>
        </w:rPr>
        <w:tab/>
      </w:r>
      <w:r w:rsidRPr="00562769">
        <w:rPr>
          <w:rFonts w:ascii="Garamond" w:eastAsia="Calibri" w:hAnsi="Garamond" w:cs="Times New Roman"/>
          <w:sz w:val="24"/>
          <w:szCs w:val="24"/>
          <w:lang w:eastAsia="nl-NL"/>
        </w:rPr>
        <w:t xml:space="preserve">het orgaan van de stichting dat de bestuurlijke taken en bevoegdheden uitoefent; </w:t>
      </w:r>
    </w:p>
    <w:p w14:paraId="3B958283" w14:textId="3786DD0C"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i/>
          <w:sz w:val="24"/>
          <w:szCs w:val="24"/>
          <w:lang w:eastAsia="nl-NL"/>
        </w:rPr>
        <w:t>intern toezicht</w:t>
      </w:r>
      <w:r w:rsidRPr="00562769">
        <w:rPr>
          <w:rFonts w:ascii="Garamond" w:eastAsia="Calibri" w:hAnsi="Garamond" w:cs="Times New Roman"/>
          <w:sz w:val="24"/>
          <w:szCs w:val="24"/>
          <w:lang w:eastAsia="nl-NL"/>
        </w:rPr>
        <w:t>:</w:t>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Pr="00562769">
        <w:rPr>
          <w:rFonts w:ascii="Garamond" w:eastAsia="Calibri" w:hAnsi="Garamond" w:cs="Times New Roman"/>
          <w:sz w:val="24"/>
          <w:szCs w:val="24"/>
          <w:lang w:eastAsia="nl-NL"/>
        </w:rPr>
        <w:t xml:space="preserve">het intern toezicht als bedoeld in de wet en de statuten;  </w:t>
      </w:r>
    </w:p>
    <w:p w14:paraId="71BC9DD3" w14:textId="19C4BEE9"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i/>
          <w:sz w:val="24"/>
          <w:szCs w:val="24"/>
          <w:lang w:eastAsia="nl-NL"/>
        </w:rPr>
        <w:t>raad van toezicht</w:t>
      </w:r>
      <w:r w:rsidRPr="00562769">
        <w:rPr>
          <w:rFonts w:ascii="Garamond" w:eastAsia="Calibri" w:hAnsi="Garamond" w:cs="Times New Roman"/>
          <w:sz w:val="24"/>
          <w:szCs w:val="24"/>
          <w:lang w:eastAsia="nl-NL"/>
        </w:rPr>
        <w:t>:</w:t>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Pr="00562769">
        <w:rPr>
          <w:rFonts w:ascii="Garamond" w:eastAsia="Calibri" w:hAnsi="Garamond" w:cs="Times New Roman"/>
          <w:sz w:val="24"/>
          <w:szCs w:val="24"/>
          <w:lang w:eastAsia="nl-NL"/>
        </w:rPr>
        <w:t>het orgaan van de stichting dat het intern toezicht uitoefent;</w:t>
      </w:r>
    </w:p>
    <w:p w14:paraId="6BFF975E" w14:textId="4CDEA948"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i/>
          <w:sz w:val="24"/>
          <w:szCs w:val="24"/>
          <w:lang w:eastAsia="nl-NL"/>
        </w:rPr>
        <w:t>reglement:</w:t>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00F71DCC">
        <w:rPr>
          <w:rFonts w:ascii="Garamond" w:eastAsia="Calibri" w:hAnsi="Garamond" w:cs="Times New Roman"/>
          <w:sz w:val="24"/>
          <w:szCs w:val="24"/>
          <w:lang w:eastAsia="nl-NL"/>
        </w:rPr>
        <w:t>h</w:t>
      </w:r>
      <w:r w:rsidRPr="00562769">
        <w:rPr>
          <w:rFonts w:ascii="Garamond" w:eastAsia="Calibri" w:hAnsi="Garamond" w:cs="Times New Roman"/>
          <w:sz w:val="24"/>
          <w:szCs w:val="24"/>
          <w:lang w:eastAsia="nl-NL"/>
        </w:rPr>
        <w:t>et “Reglement intern toezicht” van de stichting;</w:t>
      </w:r>
    </w:p>
    <w:p w14:paraId="475EEAC2" w14:textId="352ACC59"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i/>
          <w:sz w:val="24"/>
          <w:szCs w:val="24"/>
          <w:lang w:eastAsia="nl-NL"/>
        </w:rPr>
        <w:t>statuten:</w:t>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Pr="00562769">
        <w:rPr>
          <w:rFonts w:ascii="Garamond" w:eastAsia="Calibri" w:hAnsi="Garamond" w:cs="Times New Roman"/>
          <w:sz w:val="24"/>
          <w:szCs w:val="24"/>
          <w:lang w:eastAsia="nl-NL"/>
        </w:rPr>
        <w:t>de statuten van de stichting;</w:t>
      </w:r>
    </w:p>
    <w:p w14:paraId="1F60E6D3" w14:textId="27BDBF5B"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i/>
          <w:sz w:val="24"/>
          <w:szCs w:val="24"/>
          <w:lang w:eastAsia="nl-NL"/>
        </w:rPr>
        <w:t>stichting</w:t>
      </w:r>
      <w:r w:rsidRPr="00562769">
        <w:rPr>
          <w:rFonts w:ascii="Garamond" w:eastAsia="Calibri" w:hAnsi="Garamond" w:cs="Times New Roman"/>
          <w:sz w:val="24"/>
          <w:szCs w:val="24"/>
          <w:lang w:eastAsia="nl-NL"/>
        </w:rPr>
        <w:t>:</w:t>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Pr="00562769">
        <w:rPr>
          <w:rFonts w:ascii="Garamond" w:eastAsia="Calibri" w:hAnsi="Garamond" w:cs="Times New Roman"/>
          <w:sz w:val="24"/>
          <w:szCs w:val="24"/>
          <w:lang w:eastAsia="nl-NL"/>
        </w:rPr>
        <w:t>………. (naam van de rechtspersoon)</w:t>
      </w:r>
    </w:p>
    <w:p w14:paraId="58CF1A67" w14:textId="2311736B" w:rsidR="00562769" w:rsidRPr="00562769" w:rsidRDefault="00562769" w:rsidP="00081667">
      <w:pPr>
        <w:tabs>
          <w:tab w:val="left" w:pos="1560"/>
        </w:tabs>
        <w:spacing w:after="0" w:line="260" w:lineRule="atLeast"/>
        <w:rPr>
          <w:rFonts w:ascii="Garamond" w:eastAsia="Calibri" w:hAnsi="Garamond" w:cs="Times New Roman"/>
          <w:sz w:val="24"/>
          <w:szCs w:val="24"/>
          <w:lang w:eastAsia="nl-NL"/>
        </w:rPr>
      </w:pPr>
      <w:r w:rsidRPr="00562769">
        <w:rPr>
          <w:rFonts w:ascii="Garamond" w:eastAsia="Calibri" w:hAnsi="Garamond" w:cs="Times New Roman"/>
          <w:i/>
          <w:sz w:val="24"/>
          <w:szCs w:val="24"/>
          <w:lang w:eastAsia="nl-NL"/>
        </w:rPr>
        <w:t>wet</w:t>
      </w:r>
      <w:r w:rsidRPr="00562769">
        <w:rPr>
          <w:rFonts w:ascii="Garamond" w:eastAsia="Calibri" w:hAnsi="Garamond" w:cs="Times New Roman"/>
          <w:sz w:val="24"/>
          <w:szCs w:val="24"/>
          <w:lang w:eastAsia="nl-NL"/>
        </w:rPr>
        <w:t xml:space="preserve">: </w:t>
      </w:r>
      <w:r w:rsidR="004F3750">
        <w:rPr>
          <w:rFonts w:ascii="Garamond" w:eastAsia="Calibri" w:hAnsi="Garamond" w:cs="Times New Roman"/>
          <w:sz w:val="24"/>
          <w:szCs w:val="24"/>
          <w:lang w:eastAsia="nl-NL"/>
        </w:rPr>
        <w:tab/>
      </w:r>
      <w:r w:rsidR="004F3750">
        <w:rPr>
          <w:rFonts w:ascii="Garamond" w:eastAsia="Calibri" w:hAnsi="Garamond" w:cs="Times New Roman"/>
          <w:sz w:val="24"/>
          <w:szCs w:val="24"/>
          <w:lang w:eastAsia="nl-NL"/>
        </w:rPr>
        <w:tab/>
      </w:r>
      <w:r w:rsidRPr="00562769">
        <w:rPr>
          <w:rFonts w:ascii="Garamond" w:eastAsia="Calibri" w:hAnsi="Garamond" w:cs="Times New Roman"/>
          <w:sz w:val="24"/>
          <w:szCs w:val="24"/>
          <w:lang w:eastAsia="nl-NL"/>
        </w:rPr>
        <w:t>de Wet op het voortgezet onderwijs.</w:t>
      </w:r>
    </w:p>
    <w:p w14:paraId="1C34D6E8" w14:textId="77777777" w:rsidR="00562769" w:rsidRPr="00562769" w:rsidRDefault="00562769" w:rsidP="00562769">
      <w:pPr>
        <w:keepNext/>
        <w:keepLines/>
        <w:spacing w:before="260" w:after="60" w:line="240" w:lineRule="auto"/>
        <w:outlineLvl w:val="2"/>
        <w:rPr>
          <w:rFonts w:ascii="Garamond" w:eastAsia="MS PGothic" w:hAnsi="Garamond" w:cs="Times New Roman"/>
          <w:b/>
          <w:bCs/>
          <w:sz w:val="24"/>
          <w:szCs w:val="24"/>
        </w:rPr>
      </w:pPr>
      <w:bookmarkStart w:id="0" w:name="_Toc219719430"/>
      <w:r w:rsidRPr="00562769">
        <w:rPr>
          <w:rFonts w:ascii="Garamond" w:eastAsia="MS PGothic" w:hAnsi="Garamond" w:cs="Times New Roman"/>
          <w:b/>
          <w:bCs/>
          <w:sz w:val="24"/>
          <w:szCs w:val="24"/>
        </w:rPr>
        <w:t>Artikel 2</w:t>
      </w:r>
      <w:r w:rsidRPr="00562769">
        <w:rPr>
          <w:rFonts w:ascii="Garamond" w:eastAsia="MS PGothic" w:hAnsi="Garamond" w:cs="Times New Roman"/>
          <w:b/>
          <w:bCs/>
          <w:sz w:val="24"/>
          <w:szCs w:val="24"/>
        </w:rPr>
        <w:tab/>
        <w:t>Vaststelling reglement</w:t>
      </w:r>
      <w:bookmarkEnd w:id="0"/>
    </w:p>
    <w:p w14:paraId="322554EE"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5D37EF59"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stelt een reglement vast betreffende de uitoefening van de taken van de raad van toezicht als intern toezichthoudend orgaan van de stichting. </w:t>
      </w:r>
    </w:p>
    <w:p w14:paraId="45E60EB6"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25CF2CBE"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Alvorens het reglement vast te stellen dan wel te wijzigen stelt de raad van toezicht het college van bestuur in de gelegenheid advies uit te brengen.</w:t>
      </w:r>
    </w:p>
    <w:p w14:paraId="17F43996"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3</w:t>
      </w:r>
    </w:p>
    <w:p w14:paraId="0F51EAB0"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Het reglement, alsmede een wijziging daarvan treedt in werking op de dag volgend op de dag waarop de raad van toezicht het reglement dan wel een wijziging daarvan heeft vastgesteld.</w:t>
      </w:r>
    </w:p>
    <w:p w14:paraId="54A52872"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5F0D7454" w14:textId="77777777" w:rsidR="00562769" w:rsidRPr="00562769" w:rsidRDefault="00562769" w:rsidP="00562769">
      <w:pPr>
        <w:spacing w:after="0" w:line="240" w:lineRule="auto"/>
        <w:rPr>
          <w:rFonts w:ascii="Garamond" w:eastAsia="Times New Roman" w:hAnsi="Garamond" w:cs="Times New Roman"/>
          <w:i/>
          <w:sz w:val="24"/>
          <w:szCs w:val="24"/>
          <w:lang w:eastAsia="nl-NL"/>
        </w:rPr>
      </w:pPr>
      <w:bookmarkStart w:id="1" w:name="_Toc219719431"/>
    </w:p>
    <w:p w14:paraId="2234AF55"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3</w:t>
      </w:r>
      <w:r w:rsidRPr="00562769">
        <w:rPr>
          <w:rFonts w:ascii="Garamond" w:eastAsia="Times New Roman" w:hAnsi="Garamond" w:cs="Times New Roman"/>
          <w:b/>
          <w:sz w:val="24"/>
          <w:szCs w:val="24"/>
          <w:lang w:eastAsia="nl-NL"/>
        </w:rPr>
        <w:tab/>
        <w:t>Taken van de raad</w:t>
      </w:r>
      <w:bookmarkEnd w:id="1"/>
      <w:r w:rsidRPr="00562769">
        <w:rPr>
          <w:rFonts w:ascii="Garamond" w:eastAsia="Times New Roman" w:hAnsi="Garamond" w:cs="Times New Roman"/>
          <w:b/>
          <w:sz w:val="24"/>
          <w:szCs w:val="24"/>
          <w:lang w:eastAsia="nl-NL"/>
        </w:rPr>
        <w:t xml:space="preserve"> van toezicht</w:t>
      </w:r>
    </w:p>
    <w:p w14:paraId="5A370A2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0C8E1FF7"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oefent als intern toezichthoudend orgaan de onderstaande taken uit:</w:t>
      </w:r>
    </w:p>
    <w:p w14:paraId="436D0260" w14:textId="5844325E" w:rsidR="00562769" w:rsidRPr="00562769" w:rsidRDefault="00081667" w:rsidP="00D64D09">
      <w:pPr>
        <w:spacing w:after="0" w:line="240" w:lineRule="auto"/>
        <w:ind w:left="426"/>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t>a.</w:t>
      </w:r>
      <w:r w:rsidR="00562769" w:rsidRPr="00562769">
        <w:rPr>
          <w:rFonts w:ascii="Garamond" w:eastAsia="Times New Roman" w:hAnsi="Garamond" w:cs="Times New Roman"/>
          <w:sz w:val="24"/>
          <w:szCs w:val="24"/>
          <w:lang w:eastAsia="nl-NL"/>
        </w:rPr>
        <w:t xml:space="preserve"> het werkgeverschap van het college van bestuur (artikel 4 tot met 9);</w:t>
      </w:r>
    </w:p>
    <w:p w14:paraId="65A43791" w14:textId="7EBFAA81" w:rsidR="00562769" w:rsidRPr="00562769" w:rsidRDefault="00562769" w:rsidP="00D64D09">
      <w:pPr>
        <w:spacing w:after="0" w:line="240" w:lineRule="auto"/>
        <w:ind w:left="426"/>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b. het beoordelen van beleidsvoornemens, besluiten en resultaten (artikel 10 tot en met 18);</w:t>
      </w:r>
    </w:p>
    <w:p w14:paraId="67F4ACBC" w14:textId="1F4DA333" w:rsidR="00562769" w:rsidRPr="00562769" w:rsidRDefault="00562769" w:rsidP="00D64D09">
      <w:pPr>
        <w:spacing w:after="0" w:line="240" w:lineRule="auto"/>
        <w:ind w:left="426"/>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c. het adviseren van het college van bestuur (artikel 19); en</w:t>
      </w:r>
    </w:p>
    <w:p w14:paraId="30939A30" w14:textId="798202E2" w:rsidR="00562769" w:rsidRPr="00562769" w:rsidRDefault="00562769" w:rsidP="00D64D09">
      <w:pPr>
        <w:spacing w:after="0" w:line="240" w:lineRule="auto"/>
        <w:ind w:left="426"/>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 het afleggen van verantwoording (artikel 20).</w:t>
      </w:r>
      <w:bookmarkStart w:id="2" w:name="_Toc219719432"/>
    </w:p>
    <w:p w14:paraId="1E83E7CC" w14:textId="38EF54A5" w:rsidR="00D64D09" w:rsidRDefault="00D64D09">
      <w:pPr>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br w:type="page"/>
      </w:r>
    </w:p>
    <w:p w14:paraId="298F00E0" w14:textId="77777777" w:rsidR="00562769" w:rsidRPr="005330E6" w:rsidRDefault="00562769" w:rsidP="00562769">
      <w:pPr>
        <w:spacing w:after="0" w:line="240" w:lineRule="auto"/>
        <w:rPr>
          <w:rFonts w:ascii="Garamond" w:eastAsia="Calibri" w:hAnsi="Garamond" w:cs="Times New Roman"/>
          <w:sz w:val="24"/>
          <w:szCs w:val="24"/>
        </w:rPr>
      </w:pPr>
      <w:r w:rsidRPr="005330E6">
        <w:rPr>
          <w:rFonts w:ascii="Garamond" w:eastAsia="Times New Roman" w:hAnsi="Garamond" w:cs="Times New Roman"/>
          <w:sz w:val="24"/>
          <w:szCs w:val="24"/>
          <w:lang w:eastAsia="nl-NL"/>
        </w:rPr>
        <w:lastRenderedPageBreak/>
        <w:t xml:space="preserve">Lid 2  </w:t>
      </w:r>
    </w:p>
    <w:p w14:paraId="6E215841" w14:textId="77777777" w:rsidR="00562769" w:rsidRPr="005330E6" w:rsidRDefault="00562769" w:rsidP="00562769">
      <w:pPr>
        <w:autoSpaceDE w:val="0"/>
        <w:autoSpaceDN w:val="0"/>
        <w:adjustRightInd w:val="0"/>
        <w:spacing w:after="0" w:line="240" w:lineRule="auto"/>
        <w:rPr>
          <w:rFonts w:ascii="Garamond" w:eastAsia="Calibri" w:hAnsi="Garamond" w:cs="Times New Roman"/>
          <w:sz w:val="24"/>
          <w:szCs w:val="24"/>
        </w:rPr>
      </w:pPr>
      <w:r w:rsidRPr="005330E6">
        <w:rPr>
          <w:rFonts w:ascii="Garamond" w:eastAsia="Calibri" w:hAnsi="Garamond" w:cs="Times New Roman"/>
          <w:sz w:val="24"/>
          <w:szCs w:val="24"/>
        </w:rPr>
        <w:t xml:space="preserve">De raad van toezicht geeft zodanig invulling aan zijn taak dat de leden ten opzichte van elkaar, het college van bestuur en welk deelbelang dan ook onafhankelijk en kritisch kunnen opereren. </w:t>
      </w:r>
    </w:p>
    <w:p w14:paraId="1043AF60" w14:textId="77777777" w:rsidR="00562769" w:rsidRPr="005330E6" w:rsidRDefault="00562769" w:rsidP="00562769">
      <w:pPr>
        <w:autoSpaceDE w:val="0"/>
        <w:autoSpaceDN w:val="0"/>
        <w:adjustRightInd w:val="0"/>
        <w:spacing w:after="0" w:line="240" w:lineRule="auto"/>
        <w:rPr>
          <w:rFonts w:ascii="Garamond" w:eastAsia="Calibri" w:hAnsi="Garamond" w:cs="Times New Roman"/>
          <w:sz w:val="24"/>
          <w:szCs w:val="24"/>
        </w:rPr>
      </w:pPr>
      <w:r w:rsidRPr="005330E6">
        <w:rPr>
          <w:rFonts w:ascii="Garamond" w:eastAsia="Calibri" w:hAnsi="Garamond" w:cs="Times New Roman"/>
          <w:sz w:val="24"/>
          <w:szCs w:val="24"/>
        </w:rPr>
        <w:t>Lid 3</w:t>
      </w:r>
    </w:p>
    <w:p w14:paraId="0FABAFCC" w14:textId="77777777" w:rsidR="00562769" w:rsidRPr="005330E6" w:rsidRDefault="00562769" w:rsidP="00562769">
      <w:pPr>
        <w:autoSpaceDE w:val="0"/>
        <w:autoSpaceDN w:val="0"/>
        <w:adjustRightInd w:val="0"/>
        <w:spacing w:after="0" w:line="240" w:lineRule="auto"/>
        <w:rPr>
          <w:rFonts w:ascii="Garamond" w:eastAsia="Calibri" w:hAnsi="Garamond" w:cs="Times New Roman"/>
          <w:sz w:val="24"/>
          <w:szCs w:val="24"/>
        </w:rPr>
      </w:pPr>
      <w:r w:rsidRPr="005330E6">
        <w:rPr>
          <w:rFonts w:ascii="Garamond" w:eastAsia="Calibri" w:hAnsi="Garamond" w:cs="Times New Roman"/>
          <w:sz w:val="24"/>
          <w:szCs w:val="24"/>
        </w:rPr>
        <w:t xml:space="preserve">De leden van de raad van toezicht verrichten nooit taken die aan het college van bestuur toebehoren. </w:t>
      </w:r>
    </w:p>
    <w:p w14:paraId="4883E83F"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07718924" w14:textId="77777777" w:rsidR="00562769" w:rsidRPr="00081667" w:rsidRDefault="00562769" w:rsidP="00562769">
      <w:pPr>
        <w:spacing w:after="0" w:line="240" w:lineRule="auto"/>
        <w:rPr>
          <w:rFonts w:ascii="Garamond" w:eastAsia="Times New Roman" w:hAnsi="Garamond" w:cs="Times New Roman"/>
          <w:sz w:val="24"/>
          <w:szCs w:val="24"/>
          <w:lang w:eastAsia="nl-NL"/>
        </w:rPr>
      </w:pPr>
    </w:p>
    <w:p w14:paraId="29A6CBCC"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  2</w:t>
      </w:r>
      <w:r w:rsidRPr="00562769">
        <w:rPr>
          <w:rFonts w:ascii="Garamond" w:eastAsia="Times New Roman" w:hAnsi="Garamond" w:cs="Times New Roman"/>
          <w:i/>
          <w:sz w:val="24"/>
          <w:szCs w:val="24"/>
          <w:lang w:eastAsia="nl-NL"/>
        </w:rPr>
        <w:tab/>
        <w:t>Werkgeverschap van het college van bestuur</w:t>
      </w:r>
    </w:p>
    <w:p w14:paraId="7EE520E8" w14:textId="77777777" w:rsidR="00562769" w:rsidRPr="00562769" w:rsidRDefault="00562769" w:rsidP="00562769">
      <w:pPr>
        <w:spacing w:after="0" w:line="240" w:lineRule="auto"/>
        <w:rPr>
          <w:rFonts w:ascii="Garamond" w:eastAsia="Times New Roman" w:hAnsi="Garamond" w:cs="Times New Roman"/>
          <w:b/>
          <w:sz w:val="24"/>
          <w:szCs w:val="24"/>
          <w:lang w:eastAsia="nl-NL"/>
        </w:rPr>
      </w:pPr>
    </w:p>
    <w:p w14:paraId="372C4F48" w14:textId="6BDEA3BE"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4</w:t>
      </w:r>
      <w:r w:rsidRPr="00562769">
        <w:rPr>
          <w:rFonts w:ascii="Garamond" w:eastAsia="Times New Roman" w:hAnsi="Garamond" w:cs="Times New Roman"/>
          <w:b/>
          <w:sz w:val="24"/>
          <w:szCs w:val="24"/>
          <w:lang w:eastAsia="nl-NL"/>
        </w:rPr>
        <w:tab/>
        <w:t>Competentieprofiel</w:t>
      </w:r>
      <w:bookmarkEnd w:id="2"/>
    </w:p>
    <w:p w14:paraId="39EA3F52"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6A8BEF2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treedt op als werkgever van het college van bestuur.</w:t>
      </w:r>
    </w:p>
    <w:p w14:paraId="156368A4"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21B22682"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stelt voor het college van bestuur alsmede voor ieder lid van het college van bestuur een competentieprofiel vast. De raad van toezicht toetst periodiek en ieder geval op het moment dat een vacature in het college van bestuur aanwezig is of dit competentieprofiel bijgesteld moet worden. Het voorstel tot vaststelling van een competentieprofiel, zoals bedoeld in dit lid, alsmede iedere wijziging daarvan wordt om advies voorgelegd aan het college van bestuur en de MR/GMR.</w:t>
      </w:r>
    </w:p>
    <w:p w14:paraId="4A7C1547"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15492CA6"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33428657"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5</w:t>
      </w:r>
      <w:r w:rsidRPr="00562769">
        <w:rPr>
          <w:rFonts w:ascii="Garamond" w:eastAsia="Times New Roman" w:hAnsi="Garamond" w:cs="Times New Roman"/>
          <w:b/>
          <w:sz w:val="24"/>
          <w:szCs w:val="24"/>
          <w:lang w:eastAsia="nl-NL"/>
        </w:rPr>
        <w:tab/>
        <w:t>Regeling werving en selectie</w:t>
      </w:r>
    </w:p>
    <w:p w14:paraId="1A288DA0"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stelt – na overleg met het college van bestuur en na advies van de MR/GMR – een regeling vast voor de werving en selectie van de leden van het college van bestuur. </w:t>
      </w:r>
    </w:p>
    <w:p w14:paraId="20CDFAAF"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1916D0F6"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1B5B287D"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6</w:t>
      </w:r>
      <w:r w:rsidRPr="00562769">
        <w:rPr>
          <w:rFonts w:ascii="Garamond" w:eastAsia="Times New Roman" w:hAnsi="Garamond" w:cs="Times New Roman"/>
          <w:b/>
          <w:sz w:val="24"/>
          <w:szCs w:val="24"/>
          <w:lang w:eastAsia="nl-NL"/>
        </w:rPr>
        <w:tab/>
        <w:t xml:space="preserve">Beoordelingskader </w:t>
      </w:r>
    </w:p>
    <w:p w14:paraId="132D02F4"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Lid 1 </w:t>
      </w:r>
    </w:p>
    <w:p w14:paraId="40D6FF51"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stelt – na overleg met het college van bestuur en na advies van </w:t>
      </w:r>
    </w:p>
    <w:p w14:paraId="130D9481"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MR/GMR – een beoordelingskader vast aan de hand waarvan de raad van toezicht het functioneren van het college van bestuur alsmede de leden van het college van bestuur periodiek toetst.</w:t>
      </w:r>
    </w:p>
    <w:p w14:paraId="0B06D6AF"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2066A56F"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Het beoordelingskader als bedoeld in het eerste lid van dit artikel bevat tevens regels voor het houden van functionerings- en beoordelingsgesprekken door de raad van toezicht met de leden van het college van bestuur. </w:t>
      </w:r>
      <w:bookmarkStart w:id="3" w:name="_Toc219719440"/>
    </w:p>
    <w:p w14:paraId="1CE54D19"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23CB6D48"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4E2C3BA5"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7</w:t>
      </w:r>
      <w:r w:rsidRPr="00562769">
        <w:rPr>
          <w:rFonts w:ascii="Garamond" w:eastAsia="Times New Roman" w:hAnsi="Garamond" w:cs="Times New Roman"/>
          <w:b/>
          <w:sz w:val="24"/>
          <w:szCs w:val="24"/>
          <w:lang w:eastAsia="nl-NL"/>
        </w:rPr>
        <w:tab/>
        <w:t>Evaluatie</w:t>
      </w:r>
      <w:bookmarkEnd w:id="3"/>
      <w:r w:rsidRPr="00562769">
        <w:rPr>
          <w:rFonts w:ascii="Garamond" w:eastAsia="Times New Roman" w:hAnsi="Garamond" w:cs="Times New Roman"/>
          <w:b/>
          <w:sz w:val="24"/>
          <w:szCs w:val="24"/>
          <w:lang w:eastAsia="nl-NL"/>
        </w:rPr>
        <w:t xml:space="preserve"> functioneren college van bestuur</w:t>
      </w:r>
    </w:p>
    <w:p w14:paraId="11F916A4"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evalueert ten minste één maal p</w:t>
      </w:r>
      <w:r>
        <w:rPr>
          <w:rFonts w:ascii="Garamond" w:eastAsia="Times New Roman" w:hAnsi="Garamond" w:cs="Times New Roman"/>
          <w:sz w:val="24"/>
          <w:szCs w:val="24"/>
          <w:lang w:eastAsia="nl-NL"/>
        </w:rPr>
        <w:t xml:space="preserve">er jaar – buiten aanwezigheid  </w:t>
      </w:r>
      <w:r w:rsidRPr="00562769">
        <w:rPr>
          <w:rFonts w:ascii="Garamond" w:eastAsia="Times New Roman" w:hAnsi="Garamond" w:cs="Times New Roman"/>
          <w:sz w:val="24"/>
          <w:szCs w:val="24"/>
          <w:lang w:eastAsia="nl-NL"/>
        </w:rPr>
        <w:t xml:space="preserve">van het college van bestuur – het functioneren van het </w:t>
      </w:r>
      <w:r>
        <w:rPr>
          <w:rFonts w:ascii="Garamond" w:eastAsia="Times New Roman" w:hAnsi="Garamond" w:cs="Times New Roman"/>
          <w:sz w:val="24"/>
          <w:szCs w:val="24"/>
          <w:lang w:eastAsia="nl-NL"/>
        </w:rPr>
        <w:t xml:space="preserve">college van bestuur alsmede de </w:t>
      </w:r>
      <w:r w:rsidRPr="00562769">
        <w:rPr>
          <w:rFonts w:ascii="Garamond" w:eastAsia="Times New Roman" w:hAnsi="Garamond" w:cs="Times New Roman"/>
          <w:sz w:val="24"/>
          <w:szCs w:val="24"/>
          <w:lang w:eastAsia="nl-NL"/>
        </w:rPr>
        <w:t xml:space="preserve">relatie tussen raad van toezicht en het college van bestuur. De raad van toezicht bespreekt het resultaat van de evaluatie met het college van bestuur. </w:t>
      </w:r>
    </w:p>
    <w:p w14:paraId="1BE6420F"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6B8100EE"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4F0D8F3D"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b/>
          <w:sz w:val="24"/>
          <w:szCs w:val="24"/>
          <w:lang w:eastAsia="nl-NL"/>
        </w:rPr>
        <w:t>Artikel 8</w:t>
      </w:r>
      <w:r w:rsidRPr="00562769">
        <w:rPr>
          <w:rFonts w:ascii="Garamond" w:eastAsia="Times New Roman" w:hAnsi="Garamond" w:cs="Times New Roman"/>
          <w:b/>
          <w:sz w:val="24"/>
          <w:szCs w:val="24"/>
          <w:lang w:eastAsia="nl-NL"/>
        </w:rPr>
        <w:tab/>
        <w:t>Functionering- en beoordelingsgesprekken</w:t>
      </w:r>
    </w:p>
    <w:p w14:paraId="563CFCD6"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7CBC8A3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voorzitter van de raad van toezicht voert tezamen met een ander lid van de raad van toezicht jaarlijks een functionerings- en beoordelingsgesprek met ieder lid van het college van bestuur.</w:t>
      </w:r>
    </w:p>
    <w:p w14:paraId="68102099"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4DBF70B6"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Het beoordelingsgesprek vindt plaats aan de hand van het beoordelingskader als bedoeld in artikel 6 van dit reglement en de uitkomst van de evaluatie zoals bedoeld in artikel 7.</w:t>
      </w:r>
    </w:p>
    <w:p w14:paraId="4453DBDF"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3</w:t>
      </w:r>
    </w:p>
    <w:p w14:paraId="6026C71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Voorafgaande aan de functionerings- en beoordelingsgesprekken voert de raad van toezicht overleg met de MR/GMR en stelt de MR/GMR in dit overleg in de gelegenheid haar mening kenbaar te maken over het functioneren van het college van bestuur alsmede ieder lid van het college van bestuur. </w:t>
      </w:r>
    </w:p>
    <w:p w14:paraId="4AB179DA"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159C83A1"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30726C64"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9</w:t>
      </w:r>
      <w:r w:rsidRPr="00562769">
        <w:rPr>
          <w:rFonts w:ascii="Garamond" w:eastAsia="Times New Roman" w:hAnsi="Garamond" w:cs="Times New Roman"/>
          <w:b/>
          <w:sz w:val="24"/>
          <w:szCs w:val="24"/>
          <w:lang w:eastAsia="nl-NL"/>
        </w:rPr>
        <w:tab/>
        <w:t>Rechtspositie</w:t>
      </w:r>
    </w:p>
    <w:p w14:paraId="30B4F4F2"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2925BFBB" w14:textId="77777777" w:rsidR="00562769" w:rsidRPr="00562769" w:rsidRDefault="00562769" w:rsidP="00562769">
      <w:pPr>
        <w:spacing w:after="0" w:line="240" w:lineRule="auto"/>
        <w:rPr>
          <w:rFonts w:ascii="Garamond" w:eastAsia="Calibri" w:hAnsi="Garamond" w:cs="Garamond"/>
          <w:color w:val="000000"/>
          <w:sz w:val="24"/>
          <w:szCs w:val="24"/>
        </w:rPr>
      </w:pPr>
      <w:r w:rsidRPr="00562769">
        <w:rPr>
          <w:rFonts w:ascii="Garamond" w:eastAsia="Times New Roman" w:hAnsi="Garamond" w:cs="Times New Roman"/>
          <w:sz w:val="24"/>
          <w:szCs w:val="24"/>
          <w:lang w:eastAsia="nl-NL"/>
        </w:rPr>
        <w:t>Op de leden van het college van bestuur is de “CAO bestuurders VO“ van toepassing. De raad van toezicht oefent alle taken en werkzaamheden uit welke aan de raad van toezicht zijn opgedragen in de CAO als bedoeld in het eerste lid van dit artikel.</w:t>
      </w:r>
      <w:r w:rsidRPr="00562769">
        <w:rPr>
          <w:rFonts w:ascii="Garamond" w:eastAsia="Calibri" w:hAnsi="Garamond" w:cs="Garamond"/>
          <w:color w:val="000000"/>
          <w:sz w:val="24"/>
          <w:szCs w:val="24"/>
        </w:rPr>
        <w:t xml:space="preserve"> </w:t>
      </w:r>
    </w:p>
    <w:p w14:paraId="28393E47" w14:textId="77777777" w:rsidR="00562769" w:rsidRPr="00562769" w:rsidRDefault="00562769" w:rsidP="00562769">
      <w:pPr>
        <w:spacing w:after="0" w:line="240" w:lineRule="auto"/>
        <w:rPr>
          <w:rFonts w:ascii="Garamond" w:eastAsia="Calibri" w:hAnsi="Garamond" w:cs="Times New Roman"/>
          <w:color w:val="000000"/>
          <w:sz w:val="24"/>
          <w:szCs w:val="24"/>
        </w:rPr>
      </w:pPr>
      <w:r w:rsidRPr="00562769">
        <w:rPr>
          <w:rFonts w:ascii="Garamond" w:eastAsia="Calibri" w:hAnsi="Garamond" w:cs="Times New Roman"/>
          <w:color w:val="000000"/>
          <w:sz w:val="24"/>
          <w:szCs w:val="24"/>
        </w:rPr>
        <w:t>Lid 2</w:t>
      </w:r>
    </w:p>
    <w:p w14:paraId="3716FF5D" w14:textId="77777777" w:rsidR="00562769" w:rsidRPr="005330E6" w:rsidRDefault="00562769" w:rsidP="00562769">
      <w:pPr>
        <w:spacing w:after="0" w:line="240" w:lineRule="auto"/>
        <w:rPr>
          <w:rFonts w:ascii="Garamond" w:eastAsia="Calibri" w:hAnsi="Garamond" w:cs="Times New Roman"/>
          <w:sz w:val="24"/>
          <w:szCs w:val="24"/>
        </w:rPr>
      </w:pPr>
      <w:r w:rsidRPr="005330E6">
        <w:rPr>
          <w:rFonts w:ascii="Garamond" w:eastAsia="Calibri" w:hAnsi="Garamond" w:cs="Times New Roman"/>
          <w:sz w:val="24"/>
          <w:szCs w:val="24"/>
        </w:rPr>
        <w:t xml:space="preserve">De raad van toezicht stelt de contractduur van de leden van het college van bestuur vast en geeft met redenen omkleed aan of wordt gekozen voor een aanstelling voor bepaalde of onbepaalde tijd. </w:t>
      </w:r>
    </w:p>
    <w:p w14:paraId="084F56E6" w14:textId="77777777" w:rsidR="00562769" w:rsidRPr="005330E6" w:rsidRDefault="00562769" w:rsidP="00562769">
      <w:pPr>
        <w:spacing w:after="0" w:line="240" w:lineRule="auto"/>
        <w:rPr>
          <w:rFonts w:ascii="Garamond" w:eastAsia="Calibri" w:hAnsi="Garamond" w:cs="Times New Roman"/>
          <w:sz w:val="24"/>
          <w:szCs w:val="24"/>
        </w:rPr>
      </w:pPr>
      <w:r w:rsidRPr="005330E6">
        <w:rPr>
          <w:rFonts w:ascii="Garamond" w:eastAsia="Calibri" w:hAnsi="Garamond" w:cs="Times New Roman"/>
          <w:sz w:val="24"/>
          <w:szCs w:val="24"/>
        </w:rPr>
        <w:t>Lid 3</w:t>
      </w:r>
    </w:p>
    <w:p w14:paraId="66C56D4D" w14:textId="77777777" w:rsidR="00562769" w:rsidRPr="005330E6" w:rsidRDefault="00562769" w:rsidP="00562769">
      <w:pPr>
        <w:autoSpaceDE w:val="0"/>
        <w:autoSpaceDN w:val="0"/>
        <w:adjustRightInd w:val="0"/>
        <w:spacing w:after="0" w:line="240" w:lineRule="auto"/>
        <w:rPr>
          <w:rFonts w:ascii="Garamond" w:eastAsia="Calibri" w:hAnsi="Garamond" w:cs="Times New Roman"/>
          <w:sz w:val="24"/>
          <w:szCs w:val="24"/>
        </w:rPr>
      </w:pPr>
      <w:r w:rsidRPr="005330E6">
        <w:rPr>
          <w:rFonts w:ascii="Garamond" w:eastAsia="Calibri" w:hAnsi="Garamond" w:cs="Times New Roman"/>
          <w:sz w:val="24"/>
          <w:szCs w:val="24"/>
        </w:rPr>
        <w:t xml:space="preserve">De raad van toezicht laat zich bij het vaststellen van de beloning van de leden van het college van bestuur leiden door de wet- en regelgeving op dit punt. </w:t>
      </w:r>
    </w:p>
    <w:p w14:paraId="3EFF0235" w14:textId="77777777" w:rsidR="00562769" w:rsidRPr="005330E6" w:rsidRDefault="00562769" w:rsidP="00562769">
      <w:pPr>
        <w:autoSpaceDE w:val="0"/>
        <w:autoSpaceDN w:val="0"/>
        <w:adjustRightInd w:val="0"/>
        <w:spacing w:after="0" w:line="240" w:lineRule="auto"/>
        <w:rPr>
          <w:rFonts w:ascii="Garamond" w:eastAsia="Calibri" w:hAnsi="Garamond" w:cs="Times New Roman"/>
          <w:sz w:val="24"/>
          <w:szCs w:val="24"/>
        </w:rPr>
      </w:pPr>
    </w:p>
    <w:p w14:paraId="58047FEC" w14:textId="77777777" w:rsidR="00562769" w:rsidRPr="005330E6" w:rsidRDefault="00562769" w:rsidP="00562769">
      <w:pPr>
        <w:autoSpaceDE w:val="0"/>
        <w:autoSpaceDN w:val="0"/>
        <w:adjustRightInd w:val="0"/>
        <w:spacing w:after="0" w:line="240" w:lineRule="auto"/>
        <w:rPr>
          <w:rFonts w:ascii="Garamond" w:eastAsia="Calibri" w:hAnsi="Garamond" w:cs="Times New Roman"/>
          <w:sz w:val="24"/>
          <w:szCs w:val="24"/>
        </w:rPr>
      </w:pPr>
    </w:p>
    <w:p w14:paraId="3FAC6450" w14:textId="77777777" w:rsidR="00562769" w:rsidRPr="005330E6" w:rsidRDefault="00562769" w:rsidP="00562769">
      <w:pPr>
        <w:autoSpaceDE w:val="0"/>
        <w:autoSpaceDN w:val="0"/>
        <w:adjustRightInd w:val="0"/>
        <w:spacing w:after="0" w:line="240" w:lineRule="auto"/>
        <w:rPr>
          <w:rFonts w:ascii="Garamond" w:eastAsia="Calibri" w:hAnsi="Garamond" w:cs="Times New Roman"/>
          <w:b/>
          <w:sz w:val="24"/>
          <w:szCs w:val="24"/>
        </w:rPr>
      </w:pPr>
      <w:r w:rsidRPr="005330E6">
        <w:rPr>
          <w:rFonts w:ascii="Garamond" w:eastAsia="Calibri" w:hAnsi="Garamond" w:cs="Times New Roman"/>
          <w:b/>
          <w:sz w:val="24"/>
          <w:szCs w:val="24"/>
        </w:rPr>
        <w:t>Artikel 10</w:t>
      </w:r>
      <w:r w:rsidRPr="005330E6">
        <w:rPr>
          <w:rFonts w:ascii="Garamond" w:eastAsia="Calibri" w:hAnsi="Garamond" w:cs="Times New Roman"/>
          <w:b/>
          <w:sz w:val="24"/>
          <w:szCs w:val="24"/>
        </w:rPr>
        <w:tab/>
        <w:t>Deskundigheidsbevordering college van bestuur</w:t>
      </w:r>
    </w:p>
    <w:p w14:paraId="53913A43" w14:textId="77777777" w:rsidR="00562769" w:rsidRPr="005330E6" w:rsidRDefault="00562769" w:rsidP="00562769">
      <w:pPr>
        <w:autoSpaceDE w:val="0"/>
        <w:autoSpaceDN w:val="0"/>
        <w:adjustRightInd w:val="0"/>
        <w:spacing w:after="0" w:line="240" w:lineRule="auto"/>
        <w:rPr>
          <w:rFonts w:ascii="Garamond" w:eastAsia="Calibri" w:hAnsi="Garamond" w:cs="Times New Roman"/>
          <w:sz w:val="24"/>
          <w:szCs w:val="24"/>
        </w:rPr>
      </w:pPr>
      <w:r w:rsidRPr="005330E6">
        <w:rPr>
          <w:rFonts w:ascii="Garamond" w:eastAsia="Calibri" w:hAnsi="Garamond" w:cs="Times New Roman"/>
          <w:sz w:val="24"/>
          <w:szCs w:val="24"/>
        </w:rPr>
        <w:t xml:space="preserve">De raad van toezicht bewaakt jaarlijks de professionaliseringsbehoefte van het college van bestuur en ziet toe op de uitvoering. </w:t>
      </w:r>
    </w:p>
    <w:p w14:paraId="0574F715" w14:textId="77777777" w:rsidR="00562769" w:rsidRPr="00D64D09" w:rsidRDefault="00562769" w:rsidP="00562769">
      <w:pPr>
        <w:spacing w:after="0" w:line="240" w:lineRule="auto"/>
        <w:rPr>
          <w:rFonts w:ascii="Garamond" w:eastAsia="Times New Roman" w:hAnsi="Garamond" w:cs="Times New Roman"/>
          <w:sz w:val="24"/>
          <w:szCs w:val="24"/>
          <w:lang w:eastAsia="nl-NL"/>
        </w:rPr>
      </w:pPr>
    </w:p>
    <w:p w14:paraId="733792D4"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3608C3AE"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  3</w:t>
      </w:r>
      <w:r w:rsidRPr="00562769">
        <w:rPr>
          <w:rFonts w:ascii="Garamond" w:eastAsia="Times New Roman" w:hAnsi="Garamond" w:cs="Times New Roman"/>
          <w:i/>
          <w:sz w:val="24"/>
          <w:szCs w:val="24"/>
          <w:lang w:eastAsia="nl-NL"/>
        </w:rPr>
        <w:tab/>
        <w:t xml:space="preserve">Het beoordelen van beleidsvoornemens, besluiten en resultaten </w:t>
      </w:r>
      <w:bookmarkStart w:id="4" w:name="_Toc219719433"/>
    </w:p>
    <w:p w14:paraId="0947BD03" w14:textId="77777777" w:rsidR="00562769" w:rsidRPr="00562769" w:rsidRDefault="00562769" w:rsidP="00562769">
      <w:pPr>
        <w:spacing w:after="0" w:line="240" w:lineRule="auto"/>
        <w:rPr>
          <w:rFonts w:ascii="Garamond" w:eastAsia="Times New Roman" w:hAnsi="Garamond" w:cs="Times New Roman"/>
          <w:i/>
          <w:sz w:val="24"/>
          <w:szCs w:val="24"/>
          <w:lang w:eastAsia="nl-NL"/>
        </w:rPr>
      </w:pPr>
    </w:p>
    <w:p w14:paraId="202AC48E" w14:textId="77777777" w:rsidR="00562769" w:rsidRPr="00562769" w:rsidRDefault="00562769" w:rsidP="00562769">
      <w:pPr>
        <w:spacing w:after="0" w:line="240" w:lineRule="auto"/>
        <w:rPr>
          <w:rFonts w:ascii="Garamond" w:eastAsia="Times New Roman" w:hAnsi="Garamond" w:cs="Times New Roman"/>
          <w:b/>
          <w:i/>
          <w:sz w:val="24"/>
          <w:szCs w:val="24"/>
          <w:lang w:eastAsia="nl-NL"/>
        </w:rPr>
      </w:pPr>
      <w:r w:rsidRPr="00562769">
        <w:rPr>
          <w:rFonts w:ascii="Garamond" w:eastAsia="Times New Roman" w:hAnsi="Garamond" w:cs="Times New Roman"/>
          <w:b/>
          <w:sz w:val="24"/>
          <w:szCs w:val="24"/>
          <w:lang w:eastAsia="nl-NL"/>
        </w:rPr>
        <w:t>Artikel 11</w:t>
      </w:r>
      <w:r w:rsidRPr="00562769">
        <w:rPr>
          <w:rFonts w:ascii="Garamond" w:eastAsia="Times New Roman" w:hAnsi="Garamond" w:cs="Times New Roman"/>
          <w:b/>
          <w:sz w:val="24"/>
          <w:szCs w:val="24"/>
          <w:lang w:eastAsia="nl-NL"/>
        </w:rPr>
        <w:tab/>
      </w:r>
      <w:bookmarkEnd w:id="4"/>
    </w:p>
    <w:p w14:paraId="23C3325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oefent zijn intern toezichthoudende rol uit door:</w:t>
      </w:r>
    </w:p>
    <w:p w14:paraId="64DD83A0" w14:textId="19FF88B5" w:rsidR="00562769" w:rsidRPr="00562769" w:rsidRDefault="00562769" w:rsidP="00D64D09">
      <w:pPr>
        <w:spacing w:after="0" w:line="240" w:lineRule="auto"/>
        <w:ind w:left="284"/>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a. het voorafgaand goedkeuren van besluiten van het college van bestuur zoals aangegeven in de statuten en het bestuursreglement;</w:t>
      </w:r>
    </w:p>
    <w:p w14:paraId="210F6FD6" w14:textId="6A95BBDB" w:rsidR="00562769" w:rsidRPr="00562769" w:rsidRDefault="00D64D09" w:rsidP="00D64D09">
      <w:pPr>
        <w:spacing w:after="0" w:line="240" w:lineRule="auto"/>
        <w:ind w:left="284"/>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t>b.</w:t>
      </w:r>
      <w:r w:rsidR="00562769" w:rsidRPr="00562769">
        <w:rPr>
          <w:rFonts w:ascii="Garamond" w:eastAsia="Times New Roman" w:hAnsi="Garamond" w:cs="Times New Roman"/>
          <w:sz w:val="24"/>
          <w:szCs w:val="24"/>
          <w:lang w:eastAsia="nl-NL"/>
        </w:rPr>
        <w:t xml:space="preserve"> het voeren van overleg met het college van bestuur;</w:t>
      </w:r>
    </w:p>
    <w:p w14:paraId="68422EFE" w14:textId="024F45BF" w:rsidR="00562769" w:rsidRPr="00562769" w:rsidRDefault="00562769" w:rsidP="00D64D09">
      <w:pPr>
        <w:spacing w:after="0" w:line="240" w:lineRule="auto"/>
        <w:ind w:left="284"/>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c. het inwinnen en beoordelen van informatie; en</w:t>
      </w:r>
    </w:p>
    <w:p w14:paraId="4E11C6B3" w14:textId="0FFD24E1" w:rsidR="00562769" w:rsidRPr="00562769" w:rsidRDefault="00562769" w:rsidP="00D64D09">
      <w:pPr>
        <w:spacing w:after="0" w:line="240" w:lineRule="auto"/>
        <w:ind w:left="284"/>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 het voeren van overleg met stakeholders.  </w:t>
      </w:r>
      <w:bookmarkStart w:id="5" w:name="_Toc219719434"/>
    </w:p>
    <w:p w14:paraId="573C92C7" w14:textId="77777777" w:rsidR="00B4699D" w:rsidRDefault="00B4699D" w:rsidP="00562769">
      <w:pPr>
        <w:spacing w:after="0" w:line="240" w:lineRule="auto"/>
        <w:rPr>
          <w:rFonts w:ascii="Garamond" w:eastAsia="Times New Roman" w:hAnsi="Garamond" w:cs="Times New Roman"/>
          <w:b/>
          <w:sz w:val="24"/>
          <w:szCs w:val="24"/>
          <w:lang w:eastAsia="nl-NL"/>
        </w:rPr>
      </w:pPr>
    </w:p>
    <w:p w14:paraId="49D7C5B8" w14:textId="77777777" w:rsidR="00B4699D" w:rsidRDefault="00B4699D" w:rsidP="00562769">
      <w:pPr>
        <w:spacing w:after="0" w:line="240" w:lineRule="auto"/>
        <w:rPr>
          <w:rFonts w:ascii="Garamond" w:eastAsia="Times New Roman" w:hAnsi="Garamond" w:cs="Times New Roman"/>
          <w:b/>
          <w:sz w:val="24"/>
          <w:szCs w:val="24"/>
          <w:lang w:eastAsia="nl-NL"/>
        </w:rPr>
      </w:pPr>
    </w:p>
    <w:p w14:paraId="75C8ED1F" w14:textId="77777777" w:rsidR="00B4699D" w:rsidRDefault="00B4699D" w:rsidP="00562769">
      <w:pPr>
        <w:spacing w:after="0" w:line="240" w:lineRule="auto"/>
        <w:rPr>
          <w:rFonts w:ascii="Garamond" w:eastAsia="Times New Roman" w:hAnsi="Garamond" w:cs="Times New Roman"/>
          <w:b/>
          <w:sz w:val="24"/>
          <w:szCs w:val="24"/>
          <w:lang w:eastAsia="nl-NL"/>
        </w:rPr>
      </w:pPr>
    </w:p>
    <w:p w14:paraId="18085C98"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lastRenderedPageBreak/>
        <w:t>Artikel 12</w:t>
      </w:r>
      <w:r w:rsidRPr="00562769">
        <w:rPr>
          <w:rFonts w:ascii="Garamond" w:eastAsia="Times New Roman" w:hAnsi="Garamond" w:cs="Times New Roman"/>
          <w:b/>
          <w:sz w:val="24"/>
          <w:szCs w:val="24"/>
          <w:lang w:eastAsia="nl-NL"/>
        </w:rPr>
        <w:tab/>
        <w:t>Kaders voor de raad van toezicht</w:t>
      </w:r>
      <w:bookmarkEnd w:id="5"/>
    </w:p>
    <w:p w14:paraId="13D4F469" w14:textId="0515645D" w:rsidR="00562769" w:rsidRPr="00562769" w:rsidRDefault="00D64D09" w:rsidP="00562769">
      <w:pPr>
        <w:spacing w:after="0" w:line="240" w:lineRule="auto"/>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t>Lid 1</w:t>
      </w:r>
      <w:r w:rsidR="00562769" w:rsidRPr="00562769">
        <w:rPr>
          <w:rFonts w:ascii="Garamond" w:eastAsia="Times New Roman" w:hAnsi="Garamond" w:cs="Times New Roman"/>
          <w:sz w:val="24"/>
          <w:szCs w:val="24"/>
          <w:lang w:eastAsia="nl-NL"/>
        </w:rPr>
        <w:t xml:space="preserve"> </w:t>
      </w:r>
    </w:p>
    <w:p w14:paraId="6BB12BAB"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Bij het uitoefenen van de werkzaamheden, zoals genoemd in artikel 10 van dit reglement, vormen de missie, visie en strategie van de stichting en scholen voor de raad van toezicht als uitgangspunten.</w:t>
      </w:r>
    </w:p>
    <w:p w14:paraId="06E542E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24451EB2"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toetst beleidsvoornemens, voorstellen en uitkomsten van het beleid op haalbaarheid en effectiviteit aan de hand van de gestelde doelen van de stichting en de scholen. </w:t>
      </w:r>
    </w:p>
    <w:p w14:paraId="0AB746AB"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3</w:t>
      </w:r>
    </w:p>
    <w:p w14:paraId="341EC3D9"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toetst of het college van bestuur bij zijn beleid en bij de uitvoering van de bestuurstaken rekening houdt met de maatschappelijke positie en functie van de stichting.</w:t>
      </w:r>
    </w:p>
    <w:p w14:paraId="1B4C1860"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4</w:t>
      </w:r>
    </w:p>
    <w:p w14:paraId="514FEBB9"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toetst periodiek de naleving en toepassing van de “Code Goed Onderwijsbestuur VO”.</w:t>
      </w:r>
    </w:p>
    <w:p w14:paraId="0212F1AD"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5</w:t>
      </w:r>
    </w:p>
    <w:p w14:paraId="2BCE28AE"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ziet toe op naleving door het college van bestuur van wettelijke verplichtingen.</w:t>
      </w:r>
    </w:p>
    <w:p w14:paraId="1EFB62D9"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6</w:t>
      </w:r>
    </w:p>
    <w:p w14:paraId="2D0BDBD3"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ziet toe op de rechtmatige verwerving en de doelmatige en rechtmatige bestemming en aanwending van de middelen van de scholen die op grond van de wet zijn verkregen. </w:t>
      </w:r>
    </w:p>
    <w:p w14:paraId="3AFD01F3"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7</w:t>
      </w:r>
    </w:p>
    <w:p w14:paraId="17408805"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formuleert indicatoren aan de hand waarvan hij de toetsing – zoals bedoeld in dit artikel – uitoefent. De raad van toezicht informeert het college van bestuur over deze indicatoren. </w:t>
      </w:r>
    </w:p>
    <w:p w14:paraId="21AED8E6"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4BC3A20E"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2B2CDD43"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13</w:t>
      </w:r>
      <w:r w:rsidRPr="00562769">
        <w:rPr>
          <w:rFonts w:ascii="Garamond" w:eastAsia="Times New Roman" w:hAnsi="Garamond" w:cs="Times New Roman"/>
          <w:b/>
          <w:sz w:val="24"/>
          <w:szCs w:val="24"/>
          <w:lang w:eastAsia="nl-NL"/>
        </w:rPr>
        <w:tab/>
        <w:t>Overleg met het college van bestuur</w:t>
      </w:r>
    </w:p>
    <w:p w14:paraId="73311593"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3D15981F" w14:textId="77777777" w:rsidR="00562769" w:rsidRPr="005330E6" w:rsidRDefault="00562769" w:rsidP="00562769">
      <w:pPr>
        <w:spacing w:after="0" w:line="240" w:lineRule="auto"/>
        <w:rPr>
          <w:rFonts w:ascii="Garamond" w:eastAsia="Times New Roman" w:hAnsi="Garamond" w:cs="Times New Roman"/>
          <w:sz w:val="24"/>
          <w:szCs w:val="24"/>
          <w:lang w:eastAsia="nl-NL"/>
        </w:rPr>
      </w:pPr>
      <w:r w:rsidRPr="005330E6">
        <w:rPr>
          <w:rFonts w:ascii="Garamond" w:eastAsia="Times New Roman" w:hAnsi="Garamond" w:cs="Times New Roman"/>
          <w:sz w:val="24"/>
          <w:szCs w:val="24"/>
          <w:lang w:eastAsia="nl-NL"/>
        </w:rPr>
        <w:t>De raad van toezicht bespreekt ten minste één maal in de vier jaar met het college van bestuur de opgestelde integrale balans van het functioneren van het college van bestuur, waarbij in ieder geval aandacht wordt besteed aan:</w:t>
      </w:r>
    </w:p>
    <w:p w14:paraId="0079B083" w14:textId="77777777" w:rsidR="00562769" w:rsidRPr="005330E6" w:rsidRDefault="00562769" w:rsidP="000771B9">
      <w:pPr>
        <w:numPr>
          <w:ilvl w:val="0"/>
          <w:numId w:val="5"/>
        </w:numPr>
        <w:spacing w:after="0" w:line="240" w:lineRule="auto"/>
        <w:rPr>
          <w:rFonts w:ascii="Garamond" w:eastAsia="Times New Roman" w:hAnsi="Garamond" w:cs="Times New Roman"/>
          <w:sz w:val="24"/>
          <w:szCs w:val="24"/>
          <w:lang w:eastAsia="nl-NL"/>
        </w:rPr>
      </w:pPr>
      <w:r w:rsidRPr="005330E6">
        <w:rPr>
          <w:rFonts w:ascii="Garamond" w:eastAsia="Times New Roman" w:hAnsi="Garamond" w:cs="Times New Roman"/>
          <w:sz w:val="24"/>
          <w:szCs w:val="24"/>
          <w:lang w:eastAsia="nl-NL"/>
        </w:rPr>
        <w:t>De behaalde resultaten in het licht van de gemaakte afspraken over doelen;</w:t>
      </w:r>
    </w:p>
    <w:p w14:paraId="57753D7F" w14:textId="77777777" w:rsidR="00562769" w:rsidRPr="005330E6" w:rsidRDefault="00562769" w:rsidP="000771B9">
      <w:pPr>
        <w:numPr>
          <w:ilvl w:val="0"/>
          <w:numId w:val="5"/>
        </w:numPr>
        <w:spacing w:after="0" w:line="240" w:lineRule="auto"/>
        <w:rPr>
          <w:rFonts w:ascii="Garamond" w:eastAsia="Times New Roman" w:hAnsi="Garamond" w:cs="Times New Roman"/>
          <w:sz w:val="24"/>
          <w:szCs w:val="24"/>
          <w:lang w:eastAsia="nl-NL"/>
        </w:rPr>
      </w:pPr>
      <w:r w:rsidRPr="005330E6">
        <w:rPr>
          <w:rFonts w:ascii="Garamond" w:eastAsia="Times New Roman" w:hAnsi="Garamond" w:cs="Times New Roman"/>
          <w:sz w:val="24"/>
          <w:szCs w:val="24"/>
          <w:lang w:eastAsia="nl-NL"/>
        </w:rPr>
        <w:t>Het actuele functioneren van het college van bestuur in relatie tot de toekomstige opgaven van de organisatie;</w:t>
      </w:r>
    </w:p>
    <w:p w14:paraId="0B89E9E4" w14:textId="77777777" w:rsidR="00840746" w:rsidRDefault="00562769" w:rsidP="000771B9">
      <w:pPr>
        <w:numPr>
          <w:ilvl w:val="0"/>
          <w:numId w:val="5"/>
        </w:numPr>
        <w:spacing w:after="0" w:line="240" w:lineRule="auto"/>
        <w:rPr>
          <w:rFonts w:ascii="Garamond" w:eastAsia="Times New Roman" w:hAnsi="Garamond" w:cs="Times New Roman"/>
          <w:sz w:val="24"/>
          <w:szCs w:val="24"/>
          <w:lang w:eastAsia="nl-NL"/>
        </w:rPr>
      </w:pPr>
      <w:r w:rsidRPr="00840746">
        <w:rPr>
          <w:rFonts w:ascii="Garamond" w:eastAsia="Times New Roman" w:hAnsi="Garamond" w:cs="Times New Roman"/>
          <w:sz w:val="24"/>
          <w:szCs w:val="24"/>
          <w:lang w:eastAsia="nl-NL"/>
        </w:rPr>
        <w:t>Evaluatie van de missie, visie en strategie van de stichting;</w:t>
      </w:r>
      <w:r w:rsidR="00840746" w:rsidRPr="00840746">
        <w:rPr>
          <w:rFonts w:ascii="Garamond" w:eastAsia="Times New Roman" w:hAnsi="Garamond" w:cs="Times New Roman"/>
          <w:sz w:val="24"/>
          <w:szCs w:val="24"/>
          <w:lang w:eastAsia="nl-NL"/>
        </w:rPr>
        <w:t xml:space="preserve"> </w:t>
      </w:r>
    </w:p>
    <w:p w14:paraId="6FCC98BA" w14:textId="44DE8840" w:rsidR="00562769" w:rsidRPr="00840746" w:rsidRDefault="00562769" w:rsidP="000771B9">
      <w:pPr>
        <w:numPr>
          <w:ilvl w:val="0"/>
          <w:numId w:val="5"/>
        </w:numPr>
        <w:spacing w:after="0" w:line="240" w:lineRule="auto"/>
        <w:rPr>
          <w:rFonts w:ascii="Garamond" w:eastAsia="Times New Roman" w:hAnsi="Garamond" w:cs="Times New Roman"/>
          <w:sz w:val="24"/>
          <w:szCs w:val="24"/>
          <w:lang w:eastAsia="nl-NL"/>
        </w:rPr>
      </w:pPr>
      <w:r w:rsidRPr="00840746">
        <w:rPr>
          <w:rFonts w:ascii="Garamond" w:eastAsia="Times New Roman" w:hAnsi="Garamond" w:cs="Times New Roman"/>
          <w:sz w:val="24"/>
          <w:szCs w:val="24"/>
          <w:lang w:eastAsia="nl-NL"/>
        </w:rPr>
        <w:t>Evaluatie van de maatschappelijke taak van de stichting; en</w:t>
      </w:r>
    </w:p>
    <w:p w14:paraId="170C04AB" w14:textId="77777777" w:rsidR="00562769" w:rsidRPr="00562769" w:rsidRDefault="00562769" w:rsidP="000771B9">
      <w:pPr>
        <w:numPr>
          <w:ilvl w:val="0"/>
          <w:numId w:val="5"/>
        </w:num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Evaluatie van de horizontale dialoog van de stichting.     </w:t>
      </w:r>
    </w:p>
    <w:p w14:paraId="431BD994"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1E76EB38"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bespreekt ten minste één maal per jaar met het college van bestuur over:</w:t>
      </w:r>
    </w:p>
    <w:p w14:paraId="532A7EC3" w14:textId="77777777" w:rsidR="00562769" w:rsidRPr="00562769" w:rsidRDefault="00562769" w:rsidP="000771B9">
      <w:pPr>
        <w:numPr>
          <w:ilvl w:val="0"/>
          <w:numId w:val="6"/>
        </w:num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behaalde resultaten in het licht van de voor dat jaar gestelde doelen; </w:t>
      </w:r>
    </w:p>
    <w:p w14:paraId="204DDA41" w14:textId="77777777" w:rsidR="00562769" w:rsidRPr="00562769" w:rsidRDefault="00562769" w:rsidP="000771B9">
      <w:pPr>
        <w:numPr>
          <w:ilvl w:val="0"/>
          <w:numId w:val="6"/>
        </w:num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risicobeheersing en controlesystemen binnen de stichting;</w:t>
      </w:r>
    </w:p>
    <w:p w14:paraId="65BABA2A" w14:textId="77777777" w:rsidR="00562769" w:rsidRPr="00562769" w:rsidRDefault="00562769" w:rsidP="000771B9">
      <w:pPr>
        <w:numPr>
          <w:ilvl w:val="0"/>
          <w:numId w:val="6"/>
        </w:num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ontwikkelingen op korte termijn die relevant zijn voor de stichting; </w:t>
      </w:r>
    </w:p>
    <w:p w14:paraId="4784D332" w14:textId="77777777" w:rsidR="00562769" w:rsidRPr="00562769" w:rsidRDefault="00562769" w:rsidP="000771B9">
      <w:pPr>
        <w:numPr>
          <w:ilvl w:val="0"/>
          <w:numId w:val="6"/>
        </w:num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kwaliteit van het onderwijs op de scholen; en</w:t>
      </w:r>
    </w:p>
    <w:p w14:paraId="4DA6FB42" w14:textId="77777777" w:rsidR="00562769" w:rsidRPr="00562769" w:rsidRDefault="00562769" w:rsidP="000771B9">
      <w:pPr>
        <w:numPr>
          <w:ilvl w:val="0"/>
          <w:numId w:val="6"/>
        </w:num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financiële positie van de stichting.</w:t>
      </w:r>
    </w:p>
    <w:p w14:paraId="1A01E181" w14:textId="77777777" w:rsidR="00562769" w:rsidRPr="00562769" w:rsidRDefault="00562769" w:rsidP="00562769">
      <w:pPr>
        <w:spacing w:after="0" w:line="240" w:lineRule="auto"/>
        <w:rPr>
          <w:rFonts w:ascii="Garamond" w:eastAsia="Times New Roman" w:hAnsi="Garamond" w:cs="Times New Roman"/>
          <w:b/>
          <w:sz w:val="24"/>
          <w:szCs w:val="24"/>
          <w:lang w:eastAsia="nl-NL"/>
        </w:rPr>
      </w:pPr>
    </w:p>
    <w:p w14:paraId="6694547B" w14:textId="77777777"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lastRenderedPageBreak/>
        <w:t>Artikel  14</w:t>
      </w:r>
      <w:r w:rsidRPr="00562769">
        <w:rPr>
          <w:rFonts w:ascii="Garamond" w:eastAsia="Times New Roman" w:hAnsi="Garamond" w:cs="Times New Roman"/>
          <w:b/>
          <w:sz w:val="24"/>
          <w:szCs w:val="24"/>
          <w:lang w:eastAsia="nl-NL"/>
        </w:rPr>
        <w:tab/>
        <w:t>Strategisch beleidsplan</w:t>
      </w:r>
    </w:p>
    <w:p w14:paraId="6379D510"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53EFB39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stichting heeft een strategisch beleidsplan, dat voor een periode van vier jaar door het college van bestuur wordt vastgesteld en dat de voorafgaande goedkeuring behoeft van de raad van toezicht.</w:t>
      </w:r>
    </w:p>
    <w:p w14:paraId="2DCA379F"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41C4A155"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Het strategisch beleidsplan als bedoeld in het eerste lid van dit artikel bevat in ieder geval:</w:t>
      </w:r>
    </w:p>
    <w:p w14:paraId="2F6E1A2A" w14:textId="044317FD" w:rsidR="00562769" w:rsidRPr="00562769" w:rsidRDefault="008512EE" w:rsidP="008512EE">
      <w:pPr>
        <w:spacing w:after="0" w:line="240" w:lineRule="auto"/>
        <w:ind w:left="284"/>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t>a.</w:t>
      </w:r>
      <w:r w:rsidR="00562769" w:rsidRPr="00562769">
        <w:rPr>
          <w:rFonts w:ascii="Garamond" w:eastAsia="Times New Roman" w:hAnsi="Garamond" w:cs="Times New Roman"/>
          <w:sz w:val="24"/>
          <w:szCs w:val="24"/>
          <w:lang w:eastAsia="nl-NL"/>
        </w:rPr>
        <w:t xml:space="preserve"> de missie, visie, strategie en doelstellingen van de stichting;</w:t>
      </w:r>
    </w:p>
    <w:p w14:paraId="4CA73B05" w14:textId="66503A22" w:rsidR="008512EE" w:rsidRDefault="00562769" w:rsidP="008512EE">
      <w:pPr>
        <w:spacing w:after="0" w:line="240" w:lineRule="auto"/>
        <w:ind w:left="284"/>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b. de voornemens op hoofdlijnen met betrekking tot het beleid op het terrein van de onderwijskundige ontwikkeling van de scholen, passend onderwijs, het personeel, huisvesting en financiën;</w:t>
      </w:r>
    </w:p>
    <w:p w14:paraId="7029C9A6" w14:textId="1D55B5F7" w:rsidR="00562769" w:rsidRDefault="008512EE" w:rsidP="008512EE">
      <w:pPr>
        <w:spacing w:after="0" w:line="240" w:lineRule="auto"/>
        <w:ind w:left="284"/>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t xml:space="preserve">c. </w:t>
      </w:r>
      <w:r w:rsidR="00562769" w:rsidRPr="00562769">
        <w:rPr>
          <w:rFonts w:ascii="Garamond" w:eastAsia="Times New Roman" w:hAnsi="Garamond" w:cs="Times New Roman"/>
          <w:sz w:val="24"/>
          <w:szCs w:val="24"/>
          <w:lang w:eastAsia="nl-NL"/>
        </w:rPr>
        <w:t xml:space="preserve">de ontwikkeling van het leerlingenbestand </w:t>
      </w:r>
      <w:r w:rsidR="00562769" w:rsidRPr="00C149BA">
        <w:rPr>
          <w:rFonts w:ascii="Garamond" w:eastAsia="Times New Roman" w:hAnsi="Garamond" w:cs="Times New Roman"/>
          <w:sz w:val="24"/>
          <w:szCs w:val="24"/>
          <w:lang w:eastAsia="nl-NL"/>
        </w:rPr>
        <w:t>aan de hand van leerlingenprognoses; en</w:t>
      </w:r>
    </w:p>
    <w:p w14:paraId="64E62A46" w14:textId="3B0BAEF5" w:rsidR="006B043E" w:rsidRDefault="008512EE" w:rsidP="008512EE">
      <w:pPr>
        <w:spacing w:after="0" w:line="240" w:lineRule="auto"/>
        <w:ind w:left="284"/>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t xml:space="preserve">d. </w:t>
      </w:r>
      <w:r w:rsidR="00562769" w:rsidRPr="006B043E">
        <w:rPr>
          <w:rFonts w:ascii="Garamond" w:eastAsia="Times New Roman" w:hAnsi="Garamond" w:cs="Times New Roman"/>
          <w:sz w:val="24"/>
          <w:szCs w:val="24"/>
          <w:lang w:eastAsia="nl-NL"/>
        </w:rPr>
        <w:t>de samenwerking met andere onderwijs- en maatschappelijke instellingen (externe verbindingen).</w:t>
      </w:r>
      <w:r w:rsidR="006B043E" w:rsidRPr="006B043E">
        <w:rPr>
          <w:rFonts w:ascii="Garamond" w:eastAsia="Times New Roman" w:hAnsi="Garamond" w:cs="Times New Roman"/>
          <w:sz w:val="24"/>
          <w:szCs w:val="24"/>
          <w:lang w:eastAsia="nl-NL"/>
        </w:rPr>
        <w:t xml:space="preserve"> </w:t>
      </w:r>
    </w:p>
    <w:p w14:paraId="7529027F" w14:textId="6CF09B4A" w:rsidR="00562769" w:rsidRPr="006B043E" w:rsidRDefault="00562769" w:rsidP="006B043E">
      <w:pPr>
        <w:spacing w:after="0" w:line="240" w:lineRule="auto"/>
        <w:rPr>
          <w:rFonts w:ascii="Garamond" w:eastAsia="Times New Roman" w:hAnsi="Garamond" w:cs="Times New Roman"/>
          <w:sz w:val="24"/>
          <w:szCs w:val="24"/>
          <w:lang w:eastAsia="nl-NL"/>
        </w:rPr>
      </w:pPr>
      <w:r w:rsidRPr="006B043E">
        <w:rPr>
          <w:rFonts w:ascii="Garamond" w:eastAsia="Times New Roman" w:hAnsi="Garamond" w:cs="Times New Roman"/>
          <w:sz w:val="24"/>
          <w:szCs w:val="24"/>
          <w:lang w:eastAsia="nl-NL"/>
        </w:rPr>
        <w:t>Lid 3.</w:t>
      </w:r>
      <w:r w:rsidRPr="006B043E">
        <w:rPr>
          <w:rFonts w:ascii="Garamond" w:eastAsia="Times New Roman" w:hAnsi="Garamond" w:cs="Times New Roman"/>
          <w:sz w:val="24"/>
          <w:szCs w:val="24"/>
          <w:lang w:eastAsia="nl-NL"/>
        </w:rPr>
        <w:tab/>
      </w:r>
    </w:p>
    <w:p w14:paraId="4151AAE3" w14:textId="77777777" w:rsidR="00562769" w:rsidRPr="00C149BA" w:rsidRDefault="00562769" w:rsidP="00562769">
      <w:pPr>
        <w:spacing w:after="0" w:line="240" w:lineRule="auto"/>
        <w:rPr>
          <w:rFonts w:ascii="Garamond" w:eastAsia="Times New Roman" w:hAnsi="Garamond" w:cs="Times New Roman"/>
          <w:sz w:val="24"/>
          <w:szCs w:val="24"/>
          <w:lang w:eastAsia="nl-NL"/>
        </w:rPr>
      </w:pPr>
      <w:r w:rsidRPr="00C149BA">
        <w:rPr>
          <w:rFonts w:ascii="Garamond" w:eastAsia="Times New Roman" w:hAnsi="Garamond" w:cs="Times New Roman"/>
          <w:sz w:val="24"/>
          <w:szCs w:val="24"/>
          <w:lang w:eastAsia="nl-NL"/>
        </w:rPr>
        <w:t xml:space="preserve">Het college van bestuur draagt er zorg voor dat het vastgestelde strategisch beleidsplan </w:t>
      </w:r>
    </w:p>
    <w:p w14:paraId="75159DE7" w14:textId="77777777" w:rsidR="00562769" w:rsidRPr="00C149BA" w:rsidRDefault="00562769" w:rsidP="00562769">
      <w:pPr>
        <w:spacing w:after="0" w:line="240" w:lineRule="auto"/>
        <w:rPr>
          <w:rFonts w:ascii="Garamond" w:eastAsia="Times New Roman" w:hAnsi="Garamond" w:cs="Times New Roman"/>
          <w:sz w:val="24"/>
          <w:szCs w:val="24"/>
          <w:lang w:eastAsia="nl-NL"/>
        </w:rPr>
      </w:pPr>
      <w:r w:rsidRPr="00C149BA">
        <w:rPr>
          <w:rFonts w:ascii="Garamond" w:eastAsia="Times New Roman" w:hAnsi="Garamond" w:cs="Times New Roman"/>
          <w:sz w:val="24"/>
          <w:szCs w:val="24"/>
          <w:lang w:eastAsia="nl-NL"/>
        </w:rPr>
        <w:t xml:space="preserve">vóór het verstrijken van een periode van vier jaar wordt geëvalueerd en zo nodig wordt bijgesteld. </w:t>
      </w:r>
      <w:bookmarkStart w:id="6" w:name="_Toc219719435"/>
    </w:p>
    <w:p w14:paraId="5957A625" w14:textId="77777777" w:rsidR="00562769" w:rsidRPr="00C149BA" w:rsidRDefault="00562769" w:rsidP="00562769">
      <w:pPr>
        <w:spacing w:after="0" w:line="240" w:lineRule="auto"/>
        <w:rPr>
          <w:rFonts w:ascii="Garamond" w:eastAsia="Times New Roman" w:hAnsi="Garamond" w:cs="Times New Roman"/>
          <w:sz w:val="24"/>
          <w:szCs w:val="24"/>
          <w:lang w:eastAsia="nl-NL"/>
        </w:rPr>
      </w:pPr>
    </w:p>
    <w:p w14:paraId="128DC3C5" w14:textId="5B2FDBBA" w:rsidR="00562769" w:rsidRPr="00C149BA" w:rsidRDefault="00840746" w:rsidP="00562769">
      <w:pPr>
        <w:spacing w:after="0" w:line="240" w:lineRule="auto"/>
        <w:rPr>
          <w:rFonts w:ascii="Garamond" w:eastAsia="Times New Roman" w:hAnsi="Garamond" w:cs="Times New Roman"/>
          <w:b/>
          <w:sz w:val="24"/>
          <w:szCs w:val="24"/>
          <w:lang w:eastAsia="nl-NL"/>
        </w:rPr>
      </w:pPr>
      <w:r>
        <w:rPr>
          <w:rFonts w:ascii="Garamond" w:eastAsia="Times New Roman" w:hAnsi="Garamond" w:cs="Times New Roman"/>
          <w:b/>
          <w:sz w:val="24"/>
          <w:szCs w:val="24"/>
          <w:lang w:eastAsia="nl-NL"/>
        </w:rPr>
        <w:br/>
      </w:r>
      <w:r w:rsidR="00562769" w:rsidRPr="00C149BA">
        <w:rPr>
          <w:rFonts w:ascii="Garamond" w:eastAsia="Times New Roman" w:hAnsi="Garamond" w:cs="Times New Roman"/>
          <w:b/>
          <w:sz w:val="24"/>
          <w:szCs w:val="24"/>
          <w:lang w:eastAsia="nl-NL"/>
        </w:rPr>
        <w:t>Artikel 15</w:t>
      </w:r>
      <w:r w:rsidR="00562769" w:rsidRPr="00C149BA">
        <w:rPr>
          <w:rFonts w:ascii="Garamond" w:eastAsia="Times New Roman" w:hAnsi="Garamond" w:cs="Times New Roman"/>
          <w:b/>
          <w:sz w:val="24"/>
          <w:szCs w:val="24"/>
          <w:lang w:eastAsia="nl-NL"/>
        </w:rPr>
        <w:tab/>
        <w:t>Informatievoorziening</w:t>
      </w:r>
      <w:bookmarkEnd w:id="6"/>
      <w:r w:rsidR="00562769" w:rsidRPr="00C149BA">
        <w:rPr>
          <w:rFonts w:ascii="Garamond" w:eastAsia="Times New Roman" w:hAnsi="Garamond" w:cs="Times New Roman"/>
          <w:b/>
          <w:sz w:val="24"/>
          <w:szCs w:val="24"/>
          <w:lang w:eastAsia="nl-NL"/>
        </w:rPr>
        <w:t xml:space="preserve"> </w:t>
      </w:r>
    </w:p>
    <w:p w14:paraId="639C0660" w14:textId="77777777" w:rsidR="00562769" w:rsidRPr="00C149BA" w:rsidRDefault="00562769" w:rsidP="00562769">
      <w:pPr>
        <w:spacing w:after="0" w:line="240" w:lineRule="auto"/>
        <w:rPr>
          <w:rFonts w:ascii="Garamond" w:eastAsia="Times New Roman" w:hAnsi="Garamond" w:cs="Times New Roman"/>
          <w:sz w:val="24"/>
          <w:szCs w:val="24"/>
          <w:lang w:eastAsia="nl-NL"/>
        </w:rPr>
      </w:pPr>
      <w:r w:rsidRPr="00C149BA">
        <w:rPr>
          <w:rFonts w:ascii="Garamond" w:eastAsia="Times New Roman" w:hAnsi="Garamond" w:cs="Times New Roman"/>
          <w:sz w:val="24"/>
          <w:szCs w:val="24"/>
          <w:lang w:eastAsia="nl-NL"/>
        </w:rPr>
        <w:t>Lid 1</w:t>
      </w:r>
    </w:p>
    <w:p w14:paraId="73AD7859" w14:textId="77777777" w:rsidR="00562769" w:rsidRPr="00C149BA" w:rsidRDefault="00562769" w:rsidP="00562769">
      <w:pPr>
        <w:autoSpaceDE w:val="0"/>
        <w:autoSpaceDN w:val="0"/>
        <w:adjustRightInd w:val="0"/>
        <w:spacing w:after="0" w:line="240" w:lineRule="auto"/>
        <w:rPr>
          <w:rFonts w:ascii="Garamond" w:eastAsia="Calibri" w:hAnsi="Garamond" w:cs="Times New Roman"/>
          <w:sz w:val="24"/>
          <w:szCs w:val="24"/>
        </w:rPr>
      </w:pPr>
      <w:r w:rsidRPr="00C149BA">
        <w:rPr>
          <w:rFonts w:ascii="Garamond" w:eastAsia="Calibri" w:hAnsi="Garamond" w:cs="Times New Roman"/>
          <w:sz w:val="24"/>
          <w:szCs w:val="24"/>
        </w:rPr>
        <w:t xml:space="preserve">Het college van bestuur informeert de raad van toezicht actief, tijdig en adequaat en verschaft alle informatie die de raad van toezicht voor vervulling van zijn taak redelijkerwijs nodig heeft. </w:t>
      </w:r>
    </w:p>
    <w:p w14:paraId="60EEE89D" w14:textId="77777777" w:rsidR="00562769" w:rsidRPr="00C149BA" w:rsidRDefault="00562769" w:rsidP="00562769">
      <w:pPr>
        <w:spacing w:after="0" w:line="240" w:lineRule="auto"/>
        <w:rPr>
          <w:rFonts w:ascii="Garamond" w:eastAsia="Times New Roman" w:hAnsi="Garamond" w:cs="Times New Roman"/>
          <w:sz w:val="24"/>
          <w:szCs w:val="24"/>
          <w:lang w:eastAsia="nl-NL"/>
        </w:rPr>
      </w:pPr>
      <w:r w:rsidRPr="00C149BA">
        <w:rPr>
          <w:rFonts w:ascii="Garamond" w:eastAsia="Times New Roman" w:hAnsi="Garamond" w:cs="Times New Roman"/>
          <w:sz w:val="24"/>
          <w:szCs w:val="24"/>
          <w:lang w:eastAsia="nl-NL"/>
        </w:rPr>
        <w:t>Lid 2</w:t>
      </w:r>
    </w:p>
    <w:p w14:paraId="485EB9A8" w14:textId="77777777" w:rsidR="00562769" w:rsidRPr="00C149BA" w:rsidRDefault="00562769" w:rsidP="00562769">
      <w:pPr>
        <w:spacing w:after="0" w:line="240" w:lineRule="auto"/>
        <w:rPr>
          <w:rFonts w:ascii="Garamond" w:eastAsia="Times New Roman" w:hAnsi="Garamond" w:cs="Times New Roman"/>
          <w:sz w:val="24"/>
          <w:szCs w:val="24"/>
          <w:lang w:eastAsia="nl-NL"/>
        </w:rPr>
      </w:pPr>
      <w:r w:rsidRPr="00C149BA">
        <w:rPr>
          <w:rFonts w:ascii="Garamond" w:eastAsia="Times New Roman" w:hAnsi="Garamond" w:cs="Times New Roman"/>
          <w:sz w:val="24"/>
          <w:szCs w:val="24"/>
          <w:lang w:eastAsia="nl-NL"/>
        </w:rPr>
        <w:t xml:space="preserve">Onverminderd het bepaalde in het eerste lid van dit artikel kan de raad van toezicht het college van bestuur verzoeken om aanvullende informatie te verstrekken. </w:t>
      </w:r>
    </w:p>
    <w:p w14:paraId="75054E13" w14:textId="77777777" w:rsidR="00562769" w:rsidRPr="00C149BA" w:rsidRDefault="00562769" w:rsidP="00562769">
      <w:pPr>
        <w:spacing w:after="0" w:line="240" w:lineRule="auto"/>
        <w:rPr>
          <w:rFonts w:ascii="Garamond" w:eastAsia="Times New Roman" w:hAnsi="Garamond" w:cs="Times New Roman"/>
          <w:sz w:val="24"/>
          <w:szCs w:val="24"/>
          <w:lang w:eastAsia="nl-NL"/>
        </w:rPr>
      </w:pPr>
      <w:r w:rsidRPr="00C149BA">
        <w:rPr>
          <w:rFonts w:ascii="Garamond" w:eastAsia="Times New Roman" w:hAnsi="Garamond" w:cs="Times New Roman"/>
          <w:sz w:val="24"/>
          <w:szCs w:val="24"/>
          <w:lang w:eastAsia="nl-NL"/>
        </w:rPr>
        <w:t>Lid 3</w:t>
      </w:r>
    </w:p>
    <w:p w14:paraId="67912C41"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Het verstrekken van informatie door het college van bestuur aan de raad van toezicht geschiedt op gestandaardiseerde wijze gerelateerd aan de cyclus van planning en control die voor de stichting is vastgesteld. Het college van bestuur draagt er zorg voor dat de raad van toezicht de informatie tijdig ontvangt. </w:t>
      </w:r>
    </w:p>
    <w:p w14:paraId="475BB578"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4</w:t>
      </w:r>
    </w:p>
    <w:p w14:paraId="244DA01A"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Het college van bestuur informeert de raad van toezicht in ieder geval over:</w:t>
      </w:r>
    </w:p>
    <w:p w14:paraId="5103C150" w14:textId="77777777" w:rsidR="00562769" w:rsidRPr="00562769" w:rsidRDefault="00562769" w:rsidP="008512EE">
      <w:pPr>
        <w:numPr>
          <w:ilvl w:val="1"/>
          <w:numId w:val="3"/>
        </w:numPr>
        <w:tabs>
          <w:tab w:val="clear" w:pos="1440"/>
          <w:tab w:val="num" w:pos="1276"/>
        </w:tabs>
        <w:spacing w:after="0" w:line="240" w:lineRule="auto"/>
        <w:ind w:left="567"/>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belangrijke interne en externe ontwikkelingen;</w:t>
      </w:r>
    </w:p>
    <w:p w14:paraId="181BF8ED" w14:textId="77777777" w:rsidR="00562769" w:rsidRPr="00562769" w:rsidRDefault="00562769" w:rsidP="008512EE">
      <w:pPr>
        <w:numPr>
          <w:ilvl w:val="1"/>
          <w:numId w:val="3"/>
        </w:numPr>
        <w:tabs>
          <w:tab w:val="clear" w:pos="1440"/>
          <w:tab w:val="num" w:pos="1276"/>
        </w:tabs>
        <w:spacing w:after="0" w:line="240" w:lineRule="auto"/>
        <w:ind w:left="567"/>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belangrijke wijzigingen op het terrein van wet- en regelgeving;</w:t>
      </w:r>
    </w:p>
    <w:p w14:paraId="04294DEE" w14:textId="77777777" w:rsidR="00562769" w:rsidRPr="00562769" w:rsidRDefault="00562769" w:rsidP="008512EE">
      <w:pPr>
        <w:numPr>
          <w:ilvl w:val="1"/>
          <w:numId w:val="3"/>
        </w:numPr>
        <w:tabs>
          <w:tab w:val="clear" w:pos="1440"/>
          <w:tab w:val="num" w:pos="1276"/>
        </w:tabs>
        <w:spacing w:after="0" w:line="240" w:lineRule="auto"/>
        <w:ind w:left="567"/>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ernstige problemen of conflicten binnen de Stichting;</w:t>
      </w:r>
    </w:p>
    <w:p w14:paraId="3F9F4EEB" w14:textId="77777777" w:rsidR="00562769" w:rsidRPr="00562769" w:rsidRDefault="00562769" w:rsidP="008512EE">
      <w:pPr>
        <w:numPr>
          <w:ilvl w:val="1"/>
          <w:numId w:val="3"/>
        </w:numPr>
        <w:tabs>
          <w:tab w:val="clear" w:pos="1440"/>
          <w:tab w:val="num" w:pos="1276"/>
        </w:tabs>
        <w:spacing w:after="0" w:line="240" w:lineRule="auto"/>
        <w:ind w:left="567"/>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voorvallen die gemeld zijn bij de gerechtelijke autoriteiten;</w:t>
      </w:r>
    </w:p>
    <w:p w14:paraId="5DA374B2" w14:textId="77777777" w:rsidR="00562769" w:rsidRPr="00562769" w:rsidRDefault="00562769" w:rsidP="008512EE">
      <w:pPr>
        <w:numPr>
          <w:ilvl w:val="1"/>
          <w:numId w:val="3"/>
        </w:numPr>
        <w:tabs>
          <w:tab w:val="clear" w:pos="1440"/>
          <w:tab w:val="num" w:pos="1276"/>
        </w:tabs>
        <w:spacing w:after="0" w:line="240" w:lineRule="auto"/>
        <w:ind w:left="567"/>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onderwerpen waarover naar verwachting publiciteit in de media te verwachten is. </w:t>
      </w:r>
    </w:p>
    <w:p w14:paraId="62C0BD02"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5</w:t>
      </w:r>
    </w:p>
    <w:p w14:paraId="171FE898"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kan desgewenst op eigen gezag en wijze informatie bij derden </w:t>
      </w:r>
      <w:r w:rsidRPr="005330E6">
        <w:rPr>
          <w:rFonts w:ascii="Garamond" w:eastAsia="Times New Roman" w:hAnsi="Garamond" w:cs="Times New Roman"/>
          <w:sz w:val="24"/>
          <w:szCs w:val="24"/>
          <w:lang w:eastAsia="nl-NL"/>
        </w:rPr>
        <w:t xml:space="preserve">(directie, MR, externe accountant) binnen de stichting inwinnen en heeft daartoe toegang tot de documenten en </w:t>
      </w:r>
      <w:r w:rsidRPr="00562769">
        <w:rPr>
          <w:rFonts w:ascii="Garamond" w:eastAsia="Times New Roman" w:hAnsi="Garamond" w:cs="Times New Roman"/>
          <w:sz w:val="24"/>
          <w:szCs w:val="24"/>
          <w:lang w:eastAsia="nl-NL"/>
        </w:rPr>
        <w:t>voorzieningen van de stichting. De raad van toezicht meldt het college van bestuur in het geval hij van deze bevoegdheid gebruik maakt.</w:t>
      </w:r>
    </w:p>
    <w:p w14:paraId="57F482B3" w14:textId="77777777" w:rsidR="00A62136" w:rsidRDefault="00A62136" w:rsidP="00562769">
      <w:pPr>
        <w:spacing w:after="0" w:line="240" w:lineRule="auto"/>
        <w:rPr>
          <w:rFonts w:ascii="Garamond" w:eastAsia="Times New Roman" w:hAnsi="Garamond" w:cs="Times New Roman"/>
          <w:b/>
          <w:sz w:val="24"/>
          <w:szCs w:val="24"/>
          <w:lang w:eastAsia="nl-NL"/>
        </w:rPr>
      </w:pPr>
    </w:p>
    <w:p w14:paraId="46491852" w14:textId="0E7FEFB5" w:rsidR="00562769" w:rsidRPr="00562769" w:rsidRDefault="00840746" w:rsidP="00562769">
      <w:pPr>
        <w:spacing w:after="0" w:line="240" w:lineRule="auto"/>
        <w:rPr>
          <w:rFonts w:ascii="Garamond" w:eastAsia="Times New Roman" w:hAnsi="Garamond" w:cs="Times New Roman"/>
          <w:b/>
          <w:sz w:val="24"/>
          <w:szCs w:val="24"/>
          <w:lang w:eastAsia="nl-NL"/>
        </w:rPr>
      </w:pPr>
      <w:r>
        <w:rPr>
          <w:rFonts w:ascii="Garamond" w:eastAsia="Times New Roman" w:hAnsi="Garamond" w:cs="Times New Roman"/>
          <w:b/>
          <w:sz w:val="24"/>
          <w:szCs w:val="24"/>
          <w:lang w:eastAsia="nl-NL"/>
        </w:rPr>
        <w:lastRenderedPageBreak/>
        <w:br/>
      </w:r>
      <w:r w:rsidR="00562769" w:rsidRPr="00562769">
        <w:rPr>
          <w:rFonts w:ascii="Garamond" w:eastAsia="Times New Roman" w:hAnsi="Garamond" w:cs="Times New Roman"/>
          <w:b/>
          <w:sz w:val="24"/>
          <w:szCs w:val="24"/>
          <w:lang w:eastAsia="nl-NL"/>
        </w:rPr>
        <w:t xml:space="preserve">Artikel 16 </w:t>
      </w:r>
      <w:r w:rsidR="00562769" w:rsidRPr="00562769">
        <w:rPr>
          <w:rFonts w:ascii="Garamond" w:eastAsia="Times New Roman" w:hAnsi="Garamond" w:cs="Times New Roman"/>
          <w:b/>
          <w:sz w:val="24"/>
          <w:szCs w:val="24"/>
          <w:lang w:eastAsia="nl-NL"/>
        </w:rPr>
        <w:tab/>
        <w:t>Overleg met MR/GMR en het managementteam</w:t>
      </w:r>
    </w:p>
    <w:p w14:paraId="7D36E4FE"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3DFBD0FF" w14:textId="59497658"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voert ten minste tweemaal per jaar </w:t>
      </w:r>
      <w:r w:rsidR="00423765">
        <w:rPr>
          <w:rFonts w:ascii="Garamond" w:eastAsia="Times New Roman" w:hAnsi="Garamond" w:cs="Times New Roman"/>
          <w:sz w:val="24"/>
          <w:szCs w:val="24"/>
          <w:lang w:eastAsia="nl-NL"/>
        </w:rPr>
        <w:t>afzonderlijk overleg met de MR/</w:t>
      </w:r>
      <w:r w:rsidRPr="00562769">
        <w:rPr>
          <w:rFonts w:ascii="Garamond" w:eastAsia="Times New Roman" w:hAnsi="Garamond" w:cs="Times New Roman"/>
          <w:sz w:val="24"/>
          <w:szCs w:val="24"/>
          <w:lang w:eastAsia="nl-NL"/>
        </w:rPr>
        <w:t xml:space="preserve">GMR en het managementteam. In dit overleg wordt in ieder geval gesproken over algemene ontwikkelingen betreffende de Stichting. </w:t>
      </w:r>
    </w:p>
    <w:p w14:paraId="008D8FB2"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51CE56F6"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zendt voorafgaande aan ieder overleg als bedoel in het eerste lid van dit artikel een concept agenda aan de MR/GMR en stelt de MR/GMR in de gelegenheid onderwerpen aan de agenda van het overleg toe te voegen.</w:t>
      </w:r>
    </w:p>
    <w:p w14:paraId="73EAF727" w14:textId="77777777" w:rsidR="00562769" w:rsidRPr="00562769" w:rsidRDefault="00562769" w:rsidP="00562769">
      <w:pPr>
        <w:tabs>
          <w:tab w:val="left" w:pos="1096"/>
        </w:tabs>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ab/>
      </w:r>
    </w:p>
    <w:p w14:paraId="18188C08" w14:textId="77777777" w:rsidR="00562769" w:rsidRPr="00562769" w:rsidRDefault="00562769" w:rsidP="00562769">
      <w:pPr>
        <w:tabs>
          <w:tab w:val="left" w:pos="1096"/>
        </w:tabs>
        <w:spacing w:after="0" w:line="240" w:lineRule="auto"/>
        <w:rPr>
          <w:rFonts w:ascii="Garamond" w:eastAsia="Times New Roman" w:hAnsi="Garamond" w:cs="Times New Roman"/>
          <w:sz w:val="24"/>
          <w:szCs w:val="24"/>
          <w:lang w:eastAsia="nl-NL"/>
        </w:rPr>
      </w:pPr>
    </w:p>
    <w:p w14:paraId="00C0C1F0" w14:textId="77777777" w:rsidR="00562769" w:rsidRPr="00562769" w:rsidRDefault="00562769" w:rsidP="00562769">
      <w:pPr>
        <w:tabs>
          <w:tab w:val="left" w:pos="1096"/>
        </w:tabs>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17</w:t>
      </w:r>
      <w:r w:rsidRPr="00562769">
        <w:rPr>
          <w:rFonts w:ascii="Garamond" w:eastAsia="Times New Roman" w:hAnsi="Garamond" w:cs="Times New Roman"/>
          <w:b/>
          <w:sz w:val="24"/>
          <w:szCs w:val="24"/>
          <w:lang w:eastAsia="nl-NL"/>
        </w:rPr>
        <w:tab/>
      </w:r>
      <w:r w:rsidRPr="00562769">
        <w:rPr>
          <w:rFonts w:ascii="Garamond" w:eastAsia="Times New Roman" w:hAnsi="Garamond" w:cs="Times New Roman"/>
          <w:b/>
          <w:sz w:val="24"/>
          <w:szCs w:val="24"/>
          <w:lang w:eastAsia="nl-NL"/>
        </w:rPr>
        <w:tab/>
        <w:t>Overleg met accountant</w:t>
      </w:r>
    </w:p>
    <w:p w14:paraId="7DDCBC0C" w14:textId="77777777" w:rsidR="00562769" w:rsidRPr="00562769" w:rsidRDefault="00562769" w:rsidP="00562769">
      <w:pPr>
        <w:tabs>
          <w:tab w:val="left" w:pos="1096"/>
        </w:tabs>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18270A7B" w14:textId="77777777" w:rsidR="00562769" w:rsidRPr="005330E6" w:rsidRDefault="00562769" w:rsidP="00562769">
      <w:pPr>
        <w:tabs>
          <w:tab w:val="left" w:pos="1096"/>
        </w:tabs>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wijst voor ten hoogste een termijn van vijf jaren een externe accountant aan en toetst jaarlijks het functioneren van de externe accountant. </w:t>
      </w:r>
      <w:r w:rsidRPr="005330E6">
        <w:rPr>
          <w:rFonts w:ascii="Garamond" w:eastAsia="Times New Roman" w:hAnsi="Garamond" w:cs="Times New Roman"/>
          <w:sz w:val="24"/>
          <w:szCs w:val="24"/>
          <w:lang w:eastAsia="nl-NL"/>
        </w:rPr>
        <w:t>De raad van toezicht is de opdrachtgever van de externe accountant.</w:t>
      </w:r>
    </w:p>
    <w:p w14:paraId="2CC9C1EA" w14:textId="77777777" w:rsidR="00562769" w:rsidRPr="00562769" w:rsidRDefault="00562769" w:rsidP="00562769">
      <w:pPr>
        <w:tabs>
          <w:tab w:val="left" w:pos="1096"/>
        </w:tabs>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5320EE72" w14:textId="77777777" w:rsidR="00562769" w:rsidRPr="00562769" w:rsidRDefault="00562769" w:rsidP="00562769">
      <w:pPr>
        <w:tabs>
          <w:tab w:val="left" w:pos="1096"/>
        </w:tabs>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externe accountant woont in ieder geval de vergadering(en) van de raad van toezicht bij waarin wordt gesproken over de jaarrekening en de managementletter.</w:t>
      </w:r>
    </w:p>
    <w:p w14:paraId="31686D59" w14:textId="77777777" w:rsidR="00562769" w:rsidRPr="00562769" w:rsidRDefault="00562769" w:rsidP="00562769">
      <w:pPr>
        <w:tabs>
          <w:tab w:val="left" w:pos="1096"/>
        </w:tabs>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Lid 3 </w:t>
      </w:r>
    </w:p>
    <w:p w14:paraId="0E37B252" w14:textId="52B62CD0" w:rsidR="00562769" w:rsidRPr="00562769" w:rsidRDefault="00562769" w:rsidP="00562769">
      <w:pPr>
        <w:tabs>
          <w:tab w:val="left" w:pos="1096"/>
        </w:tabs>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externe accountant rapporteert zijn bevindingen betreffende het onderzoek van de jaarrekening gelijktijdig aan het college van bestuur en de raad van toezicht.</w:t>
      </w:r>
    </w:p>
    <w:p w14:paraId="09C0B61B" w14:textId="77777777" w:rsidR="00562769" w:rsidRPr="00562769" w:rsidRDefault="00562769" w:rsidP="00562769">
      <w:pPr>
        <w:autoSpaceDE w:val="0"/>
        <w:autoSpaceDN w:val="0"/>
        <w:adjustRightInd w:val="0"/>
        <w:spacing w:after="0" w:line="240" w:lineRule="auto"/>
        <w:rPr>
          <w:rFonts w:ascii="Garamond" w:eastAsia="Calibri" w:hAnsi="Garamond" w:cs="Garamond"/>
          <w:color w:val="000000"/>
          <w:sz w:val="24"/>
          <w:szCs w:val="24"/>
        </w:rPr>
      </w:pPr>
    </w:p>
    <w:p w14:paraId="23C6FB9E"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23AFA814" w14:textId="54165839"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1</w:t>
      </w:r>
      <w:r w:rsidR="00FE307B">
        <w:rPr>
          <w:rFonts w:ascii="Garamond" w:eastAsia="Times New Roman" w:hAnsi="Garamond" w:cs="Times New Roman"/>
          <w:b/>
          <w:sz w:val="24"/>
          <w:szCs w:val="24"/>
          <w:lang w:eastAsia="nl-NL"/>
        </w:rPr>
        <w:t>8</w:t>
      </w:r>
      <w:r w:rsidRPr="00562769">
        <w:rPr>
          <w:rFonts w:ascii="Garamond" w:eastAsia="Times New Roman" w:hAnsi="Garamond" w:cs="Times New Roman"/>
          <w:b/>
          <w:sz w:val="24"/>
          <w:szCs w:val="24"/>
          <w:lang w:eastAsia="nl-NL"/>
        </w:rPr>
        <w:t xml:space="preserve"> </w:t>
      </w:r>
      <w:r w:rsidRPr="00562769">
        <w:rPr>
          <w:rFonts w:ascii="Garamond" w:eastAsia="Times New Roman" w:hAnsi="Garamond" w:cs="Times New Roman"/>
          <w:b/>
          <w:sz w:val="24"/>
          <w:szCs w:val="24"/>
          <w:lang w:eastAsia="nl-NL"/>
        </w:rPr>
        <w:tab/>
        <w:t>Klokkenluidersregeling</w:t>
      </w:r>
      <w:bookmarkStart w:id="7" w:name="_Toc219719436"/>
    </w:p>
    <w:p w14:paraId="24CFCC47"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raad van toezicht ziet erop toe dat ten behoeve van de stichting een klokkenluidersregeling wordt vastgesteld. </w:t>
      </w:r>
    </w:p>
    <w:p w14:paraId="52DC7E6F"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6FEB3C77"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2E7BA0C3"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  4</w:t>
      </w:r>
      <w:r w:rsidRPr="00562769">
        <w:rPr>
          <w:rFonts w:ascii="Garamond" w:eastAsia="Times New Roman" w:hAnsi="Garamond" w:cs="Times New Roman"/>
          <w:i/>
          <w:sz w:val="24"/>
          <w:szCs w:val="24"/>
          <w:lang w:eastAsia="nl-NL"/>
        </w:rPr>
        <w:tab/>
        <w:t>Het adviseren van het college van bestuur</w:t>
      </w:r>
      <w:bookmarkStart w:id="8" w:name="_Toc219719437"/>
    </w:p>
    <w:p w14:paraId="57D3124F" w14:textId="77777777" w:rsidR="00562769" w:rsidRPr="00562769" w:rsidRDefault="00562769" w:rsidP="00562769">
      <w:pPr>
        <w:spacing w:after="0" w:line="240" w:lineRule="auto"/>
        <w:rPr>
          <w:rFonts w:ascii="Garamond" w:eastAsia="Times New Roman" w:hAnsi="Garamond" w:cs="Times New Roman"/>
          <w:i/>
          <w:sz w:val="24"/>
          <w:szCs w:val="24"/>
          <w:lang w:eastAsia="nl-NL"/>
        </w:rPr>
      </w:pPr>
    </w:p>
    <w:p w14:paraId="577246C0" w14:textId="6D824D13"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 xml:space="preserve">Artikel </w:t>
      </w:r>
      <w:r w:rsidR="00FE307B">
        <w:rPr>
          <w:rFonts w:ascii="Garamond" w:eastAsia="Times New Roman" w:hAnsi="Garamond" w:cs="Times New Roman"/>
          <w:b/>
          <w:sz w:val="24"/>
          <w:szCs w:val="24"/>
          <w:lang w:eastAsia="nl-NL"/>
        </w:rPr>
        <w:t>19</w:t>
      </w:r>
      <w:r w:rsidRPr="00562769">
        <w:rPr>
          <w:rFonts w:ascii="Garamond" w:eastAsia="Times New Roman" w:hAnsi="Garamond" w:cs="Times New Roman"/>
          <w:b/>
          <w:sz w:val="24"/>
          <w:szCs w:val="24"/>
          <w:lang w:eastAsia="nl-NL"/>
        </w:rPr>
        <w:tab/>
        <w:t>Adviseren</w:t>
      </w:r>
      <w:bookmarkEnd w:id="8"/>
    </w:p>
    <w:p w14:paraId="56111CB9"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6987D167"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alsmede ieder lid van de raad van toezicht afzonderlijk, kan gevraagd en ongevraagd fungeren als klankbord voor het college van bestuur door mee te denken en zijn kennis en expertise daartoe ter beschikking te stellen.</w:t>
      </w:r>
    </w:p>
    <w:p w14:paraId="1A794159"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38CCC082"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voorzitter van de raad van toezicht treedt op als aanspreekpunt voor het college              van bestuur.</w:t>
      </w:r>
    </w:p>
    <w:p w14:paraId="22021884"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3</w:t>
      </w:r>
    </w:p>
    <w:p w14:paraId="457338E6" w14:textId="77777777" w:rsid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voorzitter van de raad van toezicht en de voorzitter van het college van bestuur overleggen periodiek met elkaar.</w:t>
      </w:r>
    </w:p>
    <w:p w14:paraId="5A46EAC3" w14:textId="77777777" w:rsidR="00A62136" w:rsidRDefault="00A62136" w:rsidP="00562769">
      <w:pPr>
        <w:spacing w:after="0" w:line="240" w:lineRule="auto"/>
        <w:rPr>
          <w:rFonts w:ascii="Garamond" w:eastAsia="Times New Roman" w:hAnsi="Garamond" w:cs="Times New Roman"/>
          <w:sz w:val="24"/>
          <w:szCs w:val="24"/>
          <w:lang w:eastAsia="nl-NL"/>
        </w:rPr>
      </w:pPr>
    </w:p>
    <w:p w14:paraId="4E88BAFF" w14:textId="77777777" w:rsidR="00A62136" w:rsidRDefault="00A62136" w:rsidP="00562769">
      <w:pPr>
        <w:spacing w:after="0" w:line="240" w:lineRule="auto"/>
        <w:rPr>
          <w:rFonts w:ascii="Garamond" w:eastAsia="Times New Roman" w:hAnsi="Garamond" w:cs="Times New Roman"/>
          <w:sz w:val="24"/>
          <w:szCs w:val="24"/>
          <w:lang w:eastAsia="nl-NL"/>
        </w:rPr>
      </w:pPr>
    </w:p>
    <w:p w14:paraId="6E7AB98D" w14:textId="77777777" w:rsidR="00A62136" w:rsidRPr="00562769" w:rsidRDefault="00A62136" w:rsidP="00562769">
      <w:pPr>
        <w:spacing w:after="0" w:line="240" w:lineRule="auto"/>
        <w:rPr>
          <w:rFonts w:ascii="Garamond" w:eastAsia="Times New Roman" w:hAnsi="Garamond" w:cs="Times New Roman"/>
          <w:sz w:val="24"/>
          <w:szCs w:val="24"/>
          <w:lang w:eastAsia="nl-NL"/>
        </w:rPr>
      </w:pPr>
    </w:p>
    <w:bookmarkEnd w:id="7"/>
    <w:p w14:paraId="2E080BB4"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lastRenderedPageBreak/>
        <w:t>§  4</w:t>
      </w:r>
      <w:r w:rsidRPr="00562769">
        <w:rPr>
          <w:rFonts w:ascii="Garamond" w:eastAsia="Times New Roman" w:hAnsi="Garamond" w:cs="Times New Roman"/>
          <w:i/>
          <w:sz w:val="24"/>
          <w:szCs w:val="24"/>
          <w:lang w:eastAsia="nl-NL"/>
        </w:rPr>
        <w:tab/>
        <w:t>Het afleggen van verantwoording</w:t>
      </w:r>
      <w:bookmarkStart w:id="9" w:name="_Toc219719438"/>
    </w:p>
    <w:p w14:paraId="05B5B72F" w14:textId="77777777" w:rsidR="00562769" w:rsidRPr="00562769" w:rsidRDefault="00562769" w:rsidP="00562769">
      <w:pPr>
        <w:spacing w:after="0" w:line="240" w:lineRule="auto"/>
        <w:rPr>
          <w:rFonts w:ascii="Garamond" w:eastAsia="Times New Roman" w:hAnsi="Garamond" w:cs="Times New Roman"/>
          <w:i/>
          <w:sz w:val="24"/>
          <w:szCs w:val="24"/>
          <w:lang w:eastAsia="nl-NL"/>
        </w:rPr>
      </w:pPr>
    </w:p>
    <w:p w14:paraId="274141CB" w14:textId="6B4446B9" w:rsidR="00562769" w:rsidRPr="00562769" w:rsidRDefault="00562769" w:rsidP="00562769">
      <w:pPr>
        <w:spacing w:after="0" w:line="240" w:lineRule="auto"/>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t>Artikel 2</w:t>
      </w:r>
      <w:r w:rsidR="00FE307B">
        <w:rPr>
          <w:rFonts w:ascii="Garamond" w:eastAsia="Times New Roman" w:hAnsi="Garamond" w:cs="Times New Roman"/>
          <w:b/>
          <w:sz w:val="24"/>
          <w:szCs w:val="24"/>
          <w:lang w:eastAsia="nl-NL"/>
        </w:rPr>
        <w:t>0</w:t>
      </w:r>
      <w:r w:rsidRPr="00562769">
        <w:rPr>
          <w:rFonts w:ascii="Garamond" w:eastAsia="Times New Roman" w:hAnsi="Garamond" w:cs="Times New Roman"/>
          <w:b/>
          <w:sz w:val="24"/>
          <w:szCs w:val="24"/>
          <w:lang w:eastAsia="nl-NL"/>
        </w:rPr>
        <w:tab/>
        <w:t>Verantwoording</w:t>
      </w:r>
      <w:bookmarkEnd w:id="9"/>
    </w:p>
    <w:p w14:paraId="0D85D9AC"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1</w:t>
      </w:r>
    </w:p>
    <w:p w14:paraId="62FC558D"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De raad van toezicht legt jaarlijks in het jaarverslag zoals bedoeld in de wet verantwoording af over de uitvoering van de taken en de uitoefening van de bevoegdheden van de raad van toezicht als intern toezichthoudend orgaan.</w:t>
      </w:r>
    </w:p>
    <w:p w14:paraId="056AF9AA"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Lid 2</w:t>
      </w:r>
    </w:p>
    <w:p w14:paraId="21C88840" w14:textId="2FE5B3C1" w:rsidR="00562769" w:rsidRPr="00562769" w:rsidRDefault="00562769" w:rsidP="008512EE">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 xml:space="preserve">De verantwoording omvat een overzicht van de uitgevoerde taken en werkzaamheden met betrekking tot die elementen van het intern toezicht, zoals genoemd in dit reglement. </w:t>
      </w:r>
    </w:p>
    <w:p w14:paraId="251FC802" w14:textId="77777777" w:rsidR="00562769" w:rsidRPr="00562769" w:rsidRDefault="00562769" w:rsidP="00562769">
      <w:pPr>
        <w:tabs>
          <w:tab w:val="left" w:pos="567"/>
          <w:tab w:val="left" w:pos="1134"/>
          <w:tab w:val="left" w:pos="1701"/>
        </w:tabs>
        <w:spacing w:after="0" w:line="240" w:lineRule="auto"/>
        <w:rPr>
          <w:rFonts w:ascii="Garamond" w:eastAsia="Times New Roman" w:hAnsi="Garamond" w:cs="Times New Roman"/>
          <w:sz w:val="24"/>
          <w:szCs w:val="24"/>
          <w:lang w:eastAsia="nl-NL"/>
        </w:rPr>
      </w:pPr>
    </w:p>
    <w:p w14:paraId="4F48B683" w14:textId="77777777" w:rsidR="00562769" w:rsidRPr="00562769" w:rsidRDefault="00562769" w:rsidP="00562769">
      <w:pPr>
        <w:tabs>
          <w:tab w:val="left" w:pos="567"/>
          <w:tab w:val="left" w:pos="1134"/>
          <w:tab w:val="left" w:pos="1701"/>
        </w:tabs>
        <w:spacing w:after="0" w:line="240" w:lineRule="auto"/>
        <w:rPr>
          <w:rFonts w:ascii="Garamond" w:eastAsia="Times New Roman" w:hAnsi="Garamond" w:cs="Times New Roman"/>
          <w:sz w:val="24"/>
          <w:szCs w:val="24"/>
          <w:lang w:eastAsia="nl-NL"/>
        </w:rPr>
      </w:pPr>
    </w:p>
    <w:p w14:paraId="338EABDD" w14:textId="77777777"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sz w:val="24"/>
          <w:szCs w:val="24"/>
          <w:lang w:eastAsia="nl-NL"/>
        </w:rPr>
        <w:t>Aldus vastgesteld in de vergadering van de raad van toezicht d.d. ……………….. (datum)</w:t>
      </w:r>
    </w:p>
    <w:p w14:paraId="036402D3" w14:textId="77777777" w:rsidR="00562769" w:rsidRPr="00562769" w:rsidRDefault="00562769" w:rsidP="00562769">
      <w:pPr>
        <w:spacing w:after="0" w:line="260" w:lineRule="atLeast"/>
        <w:rPr>
          <w:rFonts w:ascii="Garamond" w:eastAsia="Calibri" w:hAnsi="Garamond" w:cs="Times New Roman"/>
          <w:sz w:val="24"/>
          <w:szCs w:val="24"/>
          <w:lang w:eastAsia="nl-NL"/>
        </w:rPr>
      </w:pPr>
    </w:p>
    <w:p w14:paraId="2ECCFB58" w14:textId="77777777" w:rsidR="00562769" w:rsidRPr="00562769" w:rsidRDefault="00562769" w:rsidP="00562769">
      <w:pPr>
        <w:spacing w:after="0" w:line="260" w:lineRule="atLeast"/>
        <w:rPr>
          <w:rFonts w:ascii="Garamond" w:eastAsia="Calibri" w:hAnsi="Garamond" w:cs="Times New Roman"/>
          <w:b/>
          <w:sz w:val="24"/>
          <w:szCs w:val="24"/>
          <w:lang w:eastAsia="nl-NL"/>
        </w:rPr>
      </w:pPr>
    </w:p>
    <w:p w14:paraId="08D33CA2" w14:textId="77777777"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b/>
          <w:sz w:val="24"/>
          <w:szCs w:val="24"/>
          <w:lang w:eastAsia="nl-NL"/>
        </w:rPr>
        <w:t xml:space="preserve">………………………     </w:t>
      </w:r>
      <w:r w:rsidRPr="00562769">
        <w:rPr>
          <w:rFonts w:ascii="Garamond" w:eastAsia="Calibri" w:hAnsi="Garamond" w:cs="Times New Roman"/>
          <w:sz w:val="24"/>
          <w:szCs w:val="24"/>
          <w:lang w:eastAsia="nl-NL"/>
        </w:rPr>
        <w:t>(handtekening)</w:t>
      </w:r>
    </w:p>
    <w:p w14:paraId="2AC9C847" w14:textId="77777777" w:rsidR="00562769" w:rsidRPr="00562769" w:rsidRDefault="00562769" w:rsidP="00562769">
      <w:pPr>
        <w:spacing w:after="0" w:line="260" w:lineRule="atLeast"/>
        <w:rPr>
          <w:rFonts w:ascii="Garamond" w:eastAsia="Calibri" w:hAnsi="Garamond" w:cs="Times New Roman"/>
          <w:b/>
          <w:sz w:val="24"/>
          <w:szCs w:val="24"/>
          <w:lang w:eastAsia="nl-NL"/>
        </w:rPr>
      </w:pPr>
    </w:p>
    <w:p w14:paraId="1A1512D4" w14:textId="77777777" w:rsidR="00562769" w:rsidRPr="00562769" w:rsidRDefault="00562769" w:rsidP="00562769">
      <w:pPr>
        <w:spacing w:after="0" w:line="260" w:lineRule="atLeast"/>
        <w:rPr>
          <w:rFonts w:ascii="Garamond" w:eastAsia="Calibri" w:hAnsi="Garamond" w:cs="Times New Roman"/>
          <w:sz w:val="24"/>
          <w:szCs w:val="24"/>
          <w:lang w:eastAsia="nl-NL"/>
        </w:rPr>
      </w:pPr>
      <w:r w:rsidRPr="00562769">
        <w:rPr>
          <w:rFonts w:ascii="Garamond" w:eastAsia="Calibri" w:hAnsi="Garamond" w:cs="Times New Roman"/>
          <w:sz w:val="24"/>
          <w:szCs w:val="24"/>
          <w:lang w:eastAsia="nl-NL"/>
        </w:rPr>
        <w:t>(voorzitter raad van toezicht)</w:t>
      </w:r>
    </w:p>
    <w:p w14:paraId="21D11AD1" w14:textId="77777777" w:rsidR="00AC79FA" w:rsidRDefault="00AC79FA">
      <w:pPr>
        <w:rPr>
          <w:rFonts w:ascii="Garamond" w:eastAsia="Times New Roman" w:hAnsi="Garamond" w:cs="Times New Roman"/>
          <w:sz w:val="24"/>
          <w:szCs w:val="24"/>
          <w:lang w:eastAsia="nl-NL"/>
        </w:rPr>
      </w:pPr>
      <w:r>
        <w:rPr>
          <w:rFonts w:ascii="Garamond" w:eastAsia="Times New Roman" w:hAnsi="Garamond" w:cs="Times New Roman"/>
          <w:sz w:val="24"/>
          <w:szCs w:val="24"/>
          <w:lang w:eastAsia="nl-NL"/>
        </w:rPr>
        <w:br w:type="page"/>
      </w:r>
    </w:p>
    <w:p w14:paraId="5E48EE4C" w14:textId="3172F295" w:rsidR="00562769" w:rsidRPr="00562769" w:rsidRDefault="00562769" w:rsidP="00562769">
      <w:pPr>
        <w:spacing w:after="0" w:line="240" w:lineRule="auto"/>
        <w:jc w:val="center"/>
        <w:rPr>
          <w:rFonts w:ascii="Garamond" w:eastAsia="Times New Roman" w:hAnsi="Garamond" w:cs="Times New Roman"/>
          <w:b/>
          <w:sz w:val="24"/>
          <w:szCs w:val="24"/>
          <w:lang w:eastAsia="nl-NL"/>
        </w:rPr>
      </w:pPr>
      <w:r w:rsidRPr="00562769">
        <w:rPr>
          <w:rFonts w:ascii="Garamond" w:eastAsia="Times New Roman" w:hAnsi="Garamond" w:cs="Times New Roman"/>
          <w:b/>
          <w:sz w:val="24"/>
          <w:szCs w:val="24"/>
          <w:lang w:eastAsia="nl-NL"/>
        </w:rPr>
        <w:lastRenderedPageBreak/>
        <w:t>Toelichting</w:t>
      </w:r>
    </w:p>
    <w:p w14:paraId="2EEAB5FF"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39BE6973" w14:textId="77777777" w:rsidR="00562769" w:rsidRDefault="00562769" w:rsidP="00562769">
      <w:pPr>
        <w:autoSpaceDE w:val="0"/>
        <w:autoSpaceDN w:val="0"/>
        <w:adjustRightInd w:val="0"/>
        <w:spacing w:after="0" w:line="240" w:lineRule="auto"/>
        <w:rPr>
          <w:rFonts w:ascii="Garamond" w:eastAsia="Calibri" w:hAnsi="Garamond" w:cs="Times New Roman"/>
          <w:color w:val="000000"/>
          <w:sz w:val="24"/>
          <w:szCs w:val="24"/>
        </w:rPr>
      </w:pPr>
    </w:p>
    <w:p w14:paraId="7E1B2743" w14:textId="77777777" w:rsidR="001368C8" w:rsidRPr="00562769" w:rsidRDefault="001368C8" w:rsidP="00562769">
      <w:pPr>
        <w:autoSpaceDE w:val="0"/>
        <w:autoSpaceDN w:val="0"/>
        <w:adjustRightInd w:val="0"/>
        <w:spacing w:after="0" w:line="240" w:lineRule="auto"/>
        <w:rPr>
          <w:rFonts w:ascii="Garamond" w:eastAsia="Calibri" w:hAnsi="Garamond" w:cs="Times New Roman"/>
          <w:color w:val="000000"/>
          <w:sz w:val="24"/>
          <w:szCs w:val="24"/>
        </w:rPr>
      </w:pPr>
    </w:p>
    <w:p w14:paraId="58E03BD0" w14:textId="77777777" w:rsidR="00562769" w:rsidRPr="00562769" w:rsidRDefault="00562769" w:rsidP="00562769">
      <w:pPr>
        <w:autoSpaceDE w:val="0"/>
        <w:autoSpaceDN w:val="0"/>
        <w:adjustRightInd w:val="0"/>
        <w:spacing w:after="0" w:line="240" w:lineRule="auto"/>
        <w:rPr>
          <w:rFonts w:ascii="Garamond" w:eastAsia="Calibri" w:hAnsi="Garamond" w:cs="Times New Roman"/>
          <w:b/>
          <w:color w:val="000000"/>
          <w:sz w:val="24"/>
          <w:szCs w:val="24"/>
        </w:rPr>
      </w:pPr>
      <w:r w:rsidRPr="00562769">
        <w:rPr>
          <w:rFonts w:ascii="Garamond" w:eastAsia="Calibri" w:hAnsi="Garamond" w:cs="Times New Roman"/>
          <w:b/>
          <w:color w:val="000000"/>
          <w:sz w:val="24"/>
          <w:szCs w:val="24"/>
        </w:rPr>
        <w:t>Algemeen</w:t>
      </w:r>
    </w:p>
    <w:p w14:paraId="2D638F01" w14:textId="77777777" w:rsidR="00562769" w:rsidRPr="00562769" w:rsidRDefault="00562769" w:rsidP="00562769">
      <w:pPr>
        <w:autoSpaceDE w:val="0"/>
        <w:autoSpaceDN w:val="0"/>
        <w:adjustRightInd w:val="0"/>
        <w:spacing w:after="0" w:line="240" w:lineRule="auto"/>
        <w:rPr>
          <w:rFonts w:ascii="Garamond" w:eastAsia="Calibri" w:hAnsi="Garamond" w:cs="Times New Roman"/>
          <w:color w:val="000000"/>
          <w:sz w:val="24"/>
          <w:szCs w:val="24"/>
        </w:rPr>
      </w:pPr>
    </w:p>
    <w:p w14:paraId="5F71D72D" w14:textId="77777777" w:rsidR="00562769" w:rsidRPr="00562769" w:rsidRDefault="00562769" w:rsidP="00562769">
      <w:pPr>
        <w:autoSpaceDE w:val="0"/>
        <w:autoSpaceDN w:val="0"/>
        <w:adjustRightInd w:val="0"/>
        <w:spacing w:after="0" w:line="240" w:lineRule="auto"/>
        <w:rPr>
          <w:rFonts w:ascii="Garamond" w:eastAsia="Calibri" w:hAnsi="Garamond" w:cs="Times New Roman"/>
          <w:color w:val="000000"/>
          <w:sz w:val="24"/>
          <w:szCs w:val="24"/>
        </w:rPr>
      </w:pPr>
      <w:r w:rsidRPr="00562769">
        <w:rPr>
          <w:rFonts w:ascii="Garamond" w:eastAsia="Calibri" w:hAnsi="Garamond" w:cs="Times New Roman"/>
          <w:color w:val="000000"/>
          <w:sz w:val="24"/>
          <w:szCs w:val="24"/>
        </w:rPr>
        <w:t xml:space="preserve">In de Code Goed Onderwijsbestuur VO (richtlijn 23) is aangegeven, dat binnen de organisatie een reglement wordt vastgesteld, waarin de werkwijze van het intern toezicht nader wordt geregeld. De vaststelling van dit reglement geldt bovendien als eis voor het lidmaatschap van de VO-Raad. </w:t>
      </w:r>
    </w:p>
    <w:p w14:paraId="2D58D3EF" w14:textId="77777777" w:rsidR="00562769" w:rsidRPr="00562769" w:rsidRDefault="00562769" w:rsidP="00562769">
      <w:pPr>
        <w:spacing w:after="0" w:line="240" w:lineRule="auto"/>
        <w:rPr>
          <w:rFonts w:ascii="Garamond" w:eastAsia="Times New Roman" w:hAnsi="Garamond" w:cs="Arial"/>
          <w:sz w:val="24"/>
          <w:szCs w:val="24"/>
          <w:lang w:eastAsia="nl-NL"/>
        </w:rPr>
      </w:pPr>
      <w:r w:rsidRPr="00562769">
        <w:rPr>
          <w:rFonts w:ascii="Garamond" w:eastAsia="Times New Roman" w:hAnsi="Garamond" w:cs="Arial"/>
          <w:sz w:val="24"/>
          <w:szCs w:val="24"/>
          <w:lang w:eastAsia="nl-NL"/>
        </w:rPr>
        <w:t>De Wet op het voortgezet onderwijs (WVO) schrijft niet voor dat een “Reglement intern toezicht moet worden vastgesteld. Het is denkbaar dat in de statuten van de stichting wel de opdracht is geformuleerd de uitvoering van het intern toezicht nader in te vullen en te regelen. In dat geval kan in de considerans van het reglement verwezen worden naar het desbetreffende artikel van de statuten.</w:t>
      </w:r>
    </w:p>
    <w:p w14:paraId="43C73198" w14:textId="77777777" w:rsidR="00562769" w:rsidRPr="00562769" w:rsidRDefault="00562769" w:rsidP="00562769">
      <w:pPr>
        <w:spacing w:after="0" w:line="240" w:lineRule="auto"/>
        <w:rPr>
          <w:rFonts w:ascii="Garamond" w:eastAsia="Times New Roman" w:hAnsi="Garamond" w:cs="Times New Roman"/>
          <w:sz w:val="24"/>
          <w:szCs w:val="24"/>
          <w:lang w:eastAsia="nl-NL"/>
        </w:rPr>
      </w:pPr>
    </w:p>
    <w:p w14:paraId="4BC66FC8" w14:textId="77777777" w:rsidR="00562769" w:rsidRPr="00562769" w:rsidRDefault="00562769" w:rsidP="00562769">
      <w:pPr>
        <w:spacing w:after="0" w:line="240" w:lineRule="auto"/>
        <w:rPr>
          <w:rFonts w:ascii="Garamond" w:eastAsia="Times New Roman" w:hAnsi="Garamond" w:cs="Times New Roman"/>
          <w:sz w:val="24"/>
          <w:szCs w:val="24"/>
          <w:lang w:eastAsia="nl-NL"/>
        </w:rPr>
      </w:pPr>
      <w:r w:rsidRPr="00562769">
        <w:rPr>
          <w:rFonts w:ascii="Garamond" w:eastAsia="Times New Roman" w:hAnsi="Garamond" w:cs="Times New Roman"/>
          <w:sz w:val="24"/>
          <w:szCs w:val="24"/>
          <w:lang w:eastAsia="nl-NL"/>
        </w:rPr>
        <w:t>In dit modelreglement is uitgegaan van een onderwijsorganisatie waarbij aan de wettelijke opdracht om de functies van bestuur en intern toezicht te scheiden invulling is gegeven door middel van het zogenoemde raad van toezichtmodel. In die situaties waarin een andere vorm van die scheiding tussen bestuur en intern toezicht wordt toegepast, dienen de daarbij passende aanduidingen in het reglement te worden opgenomen.</w:t>
      </w:r>
    </w:p>
    <w:p w14:paraId="16BB2426"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24668D23" w14:textId="77777777" w:rsidR="00562769" w:rsidRPr="00562769" w:rsidRDefault="00562769" w:rsidP="00562769">
      <w:pPr>
        <w:spacing w:after="0" w:line="240" w:lineRule="auto"/>
        <w:rPr>
          <w:rFonts w:ascii="Garamond" w:eastAsia="Times New Roman" w:hAnsi="Garamond" w:cs="Arial"/>
          <w:sz w:val="24"/>
          <w:szCs w:val="24"/>
          <w:lang w:eastAsia="nl-NL"/>
        </w:rPr>
      </w:pPr>
      <w:r w:rsidRPr="00562769">
        <w:rPr>
          <w:rFonts w:ascii="Garamond" w:eastAsia="Times New Roman" w:hAnsi="Garamond" w:cs="Arial"/>
          <w:sz w:val="24"/>
          <w:szCs w:val="24"/>
          <w:lang w:eastAsia="nl-NL"/>
        </w:rPr>
        <w:t>Het is denkbaar dat in de statuten al bepalingen zijn opgenomen over de wijze van uitvoering van het intern toezicht door de raad van toezicht. Het is dus belangrijk bij het opstellen van het “Reglement intern toezicht” te starten bij de statuten en aan te sluiten bij wat in de statuten al dan niet reeds geregeld is. In dit model is uitgegaan van de situatie dat de statuten dit onderwerp niet inhoudelijk geregeld hebben.</w:t>
      </w:r>
    </w:p>
    <w:p w14:paraId="0D414E8F"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1D6F8B6F"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5B44DFBD"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In dit reglement is het intern toezicht onderverdeeld in een viertal taken, te weten:</w:t>
      </w:r>
    </w:p>
    <w:p w14:paraId="7C483B42" w14:textId="77777777" w:rsidR="00562769" w:rsidRPr="00562769" w:rsidRDefault="00562769" w:rsidP="00A62136">
      <w:pPr>
        <w:numPr>
          <w:ilvl w:val="0"/>
          <w:numId w:val="7"/>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het optreden als werkgever van het college van bestuur;</w:t>
      </w:r>
    </w:p>
    <w:p w14:paraId="7A165EDD" w14:textId="77777777" w:rsidR="00562769" w:rsidRPr="00562769" w:rsidRDefault="00562769" w:rsidP="00A62136">
      <w:pPr>
        <w:numPr>
          <w:ilvl w:val="0"/>
          <w:numId w:val="7"/>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het beoordelen van beleidsvoornemens en besluiten;</w:t>
      </w:r>
    </w:p>
    <w:p w14:paraId="47424948" w14:textId="77777777" w:rsidR="00562769" w:rsidRPr="00562769" w:rsidRDefault="00562769" w:rsidP="00A62136">
      <w:pPr>
        <w:numPr>
          <w:ilvl w:val="0"/>
          <w:numId w:val="7"/>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het optreden als adviseur van het college van bestuur; en</w:t>
      </w:r>
    </w:p>
    <w:p w14:paraId="550238E1" w14:textId="77777777" w:rsidR="00562769" w:rsidRPr="00562769" w:rsidRDefault="00562769" w:rsidP="00A62136">
      <w:pPr>
        <w:numPr>
          <w:ilvl w:val="0"/>
          <w:numId w:val="7"/>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het afleggen van verantwoording over de wijze waarop het intern toezicht wordt uitgevoerd.</w:t>
      </w:r>
    </w:p>
    <w:p w14:paraId="514CF4E4" w14:textId="77777777" w:rsidR="00562769" w:rsidRPr="00562769" w:rsidRDefault="00562769" w:rsidP="00562769">
      <w:pPr>
        <w:autoSpaceDE w:val="0"/>
        <w:autoSpaceDN w:val="0"/>
        <w:adjustRightInd w:val="0"/>
        <w:spacing w:after="0" w:line="240" w:lineRule="auto"/>
        <w:ind w:left="720"/>
        <w:rPr>
          <w:rFonts w:ascii="Garamond" w:eastAsia="Calibri" w:hAnsi="Garamond" w:cs="Times New Roman"/>
          <w:sz w:val="24"/>
          <w:szCs w:val="24"/>
        </w:rPr>
      </w:pPr>
    </w:p>
    <w:p w14:paraId="105BB0EA"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In de verschillende paragrafen worden deze vier taken nader uitgewerkt.</w:t>
      </w:r>
    </w:p>
    <w:p w14:paraId="6A28BA1B"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3778953F" w14:textId="77777777" w:rsidR="00562769" w:rsidRPr="005330E6" w:rsidRDefault="00562769" w:rsidP="00562769">
      <w:pPr>
        <w:spacing w:after="0" w:line="240" w:lineRule="auto"/>
        <w:rPr>
          <w:rFonts w:ascii="Garamond" w:eastAsia="Times New Roman" w:hAnsi="Garamond" w:cs="Arial"/>
          <w:i/>
          <w:sz w:val="24"/>
          <w:szCs w:val="24"/>
          <w:lang w:eastAsia="nl-NL"/>
        </w:rPr>
      </w:pPr>
      <w:r w:rsidRPr="005330E6">
        <w:rPr>
          <w:rFonts w:ascii="Garamond" w:eastAsia="Times New Roman" w:hAnsi="Garamond" w:cs="Arial"/>
          <w:i/>
          <w:sz w:val="24"/>
          <w:szCs w:val="24"/>
          <w:lang w:eastAsia="nl-NL"/>
        </w:rPr>
        <w:t>Richtlijnen Code Goed Onderwijsbestuur VO</w:t>
      </w:r>
    </w:p>
    <w:p w14:paraId="280259E5" w14:textId="77777777" w:rsidR="00562769" w:rsidRPr="005330E6" w:rsidRDefault="00562769" w:rsidP="00562769">
      <w:pPr>
        <w:spacing w:after="0" w:line="240" w:lineRule="auto"/>
        <w:rPr>
          <w:rFonts w:ascii="Garamond" w:eastAsia="Times New Roman" w:hAnsi="Garamond" w:cs="Arial"/>
          <w:sz w:val="24"/>
          <w:szCs w:val="24"/>
          <w:lang w:eastAsia="nl-NL"/>
        </w:rPr>
      </w:pPr>
      <w:r w:rsidRPr="005330E6">
        <w:rPr>
          <w:rFonts w:ascii="Garamond" w:eastAsia="Times New Roman" w:hAnsi="Garamond" w:cs="Arial"/>
          <w:sz w:val="24"/>
          <w:szCs w:val="24"/>
          <w:lang w:eastAsia="nl-NL"/>
        </w:rPr>
        <w:t xml:space="preserve">Hoofdstuk 4 van de Code Goed Onderwijsbestuur VO bevat 47 richtlijnen. De inhoud van deze richtlijnen moeten terug te vinden zijn in hetzij de statuten, het bestuursreglement, het reglement intern toezicht, de integriteitscode, het reglement criteria nevenfuncties hetzij in andere regelingen van de organisatie. Uitgaande van wat van deze richtlijnen reeds in de eigen statuten is opgenomen en is uitgewerkt, moet bezien worden welke richtlijnen nog in de verschillende reglementen en regelingen – waaronder begrepen het reglement intern toezicht – opgenomen </w:t>
      </w:r>
      <w:r w:rsidRPr="005330E6">
        <w:rPr>
          <w:rFonts w:ascii="Garamond" w:eastAsia="Times New Roman" w:hAnsi="Garamond" w:cs="Arial"/>
          <w:sz w:val="24"/>
          <w:szCs w:val="24"/>
          <w:lang w:eastAsia="nl-NL"/>
        </w:rPr>
        <w:lastRenderedPageBreak/>
        <w:t xml:space="preserve">moeten worden. Dat is derhalve maatwerk dat iedere organisatie zelf moet uitvoeren en dat leiden kan tot aanpassing van de bepalingen van dit model reglement intern toezicht.   </w:t>
      </w:r>
    </w:p>
    <w:p w14:paraId="059301F0"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73BE160C"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5E60BD99" w14:textId="77777777" w:rsidR="00562769" w:rsidRPr="00562769" w:rsidRDefault="00562769" w:rsidP="00562769">
      <w:pPr>
        <w:autoSpaceDE w:val="0"/>
        <w:autoSpaceDN w:val="0"/>
        <w:adjustRightInd w:val="0"/>
        <w:spacing w:after="0" w:line="240" w:lineRule="auto"/>
        <w:rPr>
          <w:rFonts w:ascii="Garamond" w:eastAsia="Calibri" w:hAnsi="Garamond" w:cs="Times New Roman"/>
          <w:b/>
          <w:sz w:val="24"/>
          <w:szCs w:val="24"/>
        </w:rPr>
      </w:pPr>
      <w:r w:rsidRPr="00562769">
        <w:rPr>
          <w:rFonts w:ascii="Garamond" w:eastAsia="Calibri" w:hAnsi="Garamond" w:cs="Times New Roman"/>
          <w:b/>
          <w:sz w:val="24"/>
          <w:szCs w:val="24"/>
        </w:rPr>
        <w:t>Opmerkingen bij enkele artikelen</w:t>
      </w:r>
    </w:p>
    <w:p w14:paraId="40567E82"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51401898" w14:textId="77777777" w:rsidR="00562769" w:rsidRPr="00562769" w:rsidRDefault="00562769" w:rsidP="00562769">
      <w:pPr>
        <w:autoSpaceDE w:val="0"/>
        <w:autoSpaceDN w:val="0"/>
        <w:adjustRightInd w:val="0"/>
        <w:spacing w:after="0" w:line="240" w:lineRule="auto"/>
        <w:rPr>
          <w:rFonts w:ascii="Garamond" w:eastAsia="Calibri" w:hAnsi="Garamond" w:cs="Times New Roman"/>
          <w:i/>
          <w:sz w:val="24"/>
          <w:szCs w:val="24"/>
        </w:rPr>
      </w:pPr>
      <w:r w:rsidRPr="00562769">
        <w:rPr>
          <w:rFonts w:ascii="Garamond" w:eastAsia="Calibri" w:hAnsi="Garamond" w:cs="Times New Roman"/>
          <w:i/>
          <w:sz w:val="24"/>
          <w:szCs w:val="24"/>
        </w:rPr>
        <w:t>Artikel 4</w:t>
      </w:r>
      <w:r w:rsidRPr="00562769">
        <w:rPr>
          <w:rFonts w:ascii="Garamond" w:eastAsia="Calibri" w:hAnsi="Garamond" w:cs="Times New Roman"/>
          <w:i/>
          <w:sz w:val="24"/>
          <w:szCs w:val="24"/>
        </w:rPr>
        <w:tab/>
        <w:t>Competentieprofiel</w:t>
      </w:r>
    </w:p>
    <w:p w14:paraId="22FC511E"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In het wetsvoorstel versterking bestuurskracht (nr. 34.251) dat ter behandeling ligt bij het parlement wordt onder meer geregeld dat de MR – dan wel de GMR in het geval dat de stichting meer dan één scholen voor voortgezet onderwijs in stand houdt – een adviesrecht krijgt voor de vaststelling van het competentieprofiel van de bestuurders. Dit adviesrecht wordt geregeld in de Wet medezeggenschap voor scholen (WMS). Vooruitlopend op de totstandkoming van deze wetswijziging is in dit artikel van het Reglement intern toezicht de rol van de MR c.q. GMR al opgenomen.</w:t>
      </w:r>
    </w:p>
    <w:p w14:paraId="44C0B3D4"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2FBFB43E" w14:textId="77777777" w:rsidR="00562769" w:rsidRPr="00562769" w:rsidRDefault="00562769" w:rsidP="00562769">
      <w:pPr>
        <w:autoSpaceDE w:val="0"/>
        <w:autoSpaceDN w:val="0"/>
        <w:adjustRightInd w:val="0"/>
        <w:spacing w:after="0" w:line="240" w:lineRule="auto"/>
        <w:rPr>
          <w:rFonts w:ascii="Garamond" w:eastAsia="Calibri" w:hAnsi="Garamond" w:cs="Times New Roman"/>
          <w:i/>
          <w:sz w:val="24"/>
          <w:szCs w:val="24"/>
        </w:rPr>
      </w:pPr>
      <w:r w:rsidRPr="00562769">
        <w:rPr>
          <w:rFonts w:ascii="Garamond" w:eastAsia="Calibri" w:hAnsi="Garamond" w:cs="Times New Roman"/>
          <w:i/>
          <w:sz w:val="24"/>
          <w:szCs w:val="24"/>
        </w:rPr>
        <w:t>Artikel 5</w:t>
      </w:r>
      <w:r w:rsidRPr="00562769">
        <w:rPr>
          <w:rFonts w:ascii="Garamond" w:eastAsia="Calibri" w:hAnsi="Garamond" w:cs="Times New Roman"/>
          <w:i/>
          <w:sz w:val="24"/>
          <w:szCs w:val="24"/>
        </w:rPr>
        <w:tab/>
        <w:t>Regeling werving en selectie</w:t>
      </w:r>
    </w:p>
    <w:p w14:paraId="68727B66"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Onder verwijzing naar wat onder artikel 4 is genoemd, geldt dat hetzelfde wetsvoorstel ook regelt dat de MR c.q. GMR een adviesrecht krijgt betreffende de benoeming en ontslag van de bestuurders. In het reglement werving en selectie van bestuurders kan de rol van de MR c.q. GMR in het benoemingsproces nader worden ingevuld.</w:t>
      </w:r>
    </w:p>
    <w:p w14:paraId="0AF4DFD5"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6F3BB7CE"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Artikel 8</w:t>
      </w:r>
      <w:r w:rsidRPr="00562769">
        <w:rPr>
          <w:rFonts w:ascii="Garamond" w:eastAsia="Times New Roman" w:hAnsi="Garamond" w:cs="Times New Roman"/>
          <w:i/>
          <w:sz w:val="24"/>
          <w:szCs w:val="24"/>
          <w:lang w:eastAsia="nl-NL"/>
        </w:rPr>
        <w:tab/>
        <w:t>Functionering- en beoordelingsgesprekken</w:t>
      </w:r>
    </w:p>
    <w:p w14:paraId="61075A56"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Het is denkbaar dat de raad van toezicht een renumeratiecommissie heeft ingesteld, die onder meer tot taak heeft namens de raad van toezicht de functionering en beoordelingsgesprekken te voeren. In dat geval dient in dit artikel die renumeratiecommissie als actor genoemd te worden.</w:t>
      </w:r>
    </w:p>
    <w:p w14:paraId="722182DC"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0AA6282A"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 xml:space="preserve">Het wetsvoorstel, dat onder artikel 4 is genoemd, schrijft voor dat de raad van toezicht ten minste tweemaal per jaar overleg voert met de MR c.q. GMR. Daarmee wordt de relatie tussen MR/GMR en het intern toezichthoudend orgaan sterker. Gelet daarop en gezien het adviesrecht van de MR/GMR betreffende het competentieprofiel en de benoeming en het ontslag van bestuurders, is het passend dat de raad van toezicht – voorafgaande aan de start van de cyclus van functionerings- en beoordelingsgesprekken met de bestuurders – bij de MR c.q. GMR peilt hoe dit medezeggenschapsorgaan het functioneren van de bestuurders ervaart.  </w:t>
      </w:r>
    </w:p>
    <w:p w14:paraId="235F78A6"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20A44449"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Artikel 9</w:t>
      </w:r>
      <w:r w:rsidRPr="00562769">
        <w:rPr>
          <w:rFonts w:ascii="Garamond" w:eastAsia="Times New Roman" w:hAnsi="Garamond" w:cs="Times New Roman"/>
          <w:i/>
          <w:sz w:val="24"/>
          <w:szCs w:val="24"/>
          <w:lang w:eastAsia="nl-NL"/>
        </w:rPr>
        <w:tab/>
        <w:t>Rechtspositie</w:t>
      </w:r>
    </w:p>
    <w:p w14:paraId="58DC5F0A"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 xml:space="preserve">In het geval de raad van toezicht een andere rechtspositieregeling heeft vastgesteld of volgt voor de leden van het college van bestuur wordt die regeling hier vermeld. </w:t>
      </w:r>
    </w:p>
    <w:p w14:paraId="1936D728"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67E8C8CF" w14:textId="77777777" w:rsidR="00562769" w:rsidRPr="00562769" w:rsidRDefault="00562769" w:rsidP="00562769">
      <w:pPr>
        <w:autoSpaceDE w:val="0"/>
        <w:autoSpaceDN w:val="0"/>
        <w:adjustRightInd w:val="0"/>
        <w:spacing w:after="0" w:line="240" w:lineRule="auto"/>
        <w:rPr>
          <w:rFonts w:ascii="Garamond" w:eastAsia="Calibri" w:hAnsi="Garamond" w:cs="Times New Roman"/>
          <w:i/>
          <w:sz w:val="24"/>
          <w:szCs w:val="24"/>
        </w:rPr>
      </w:pPr>
      <w:r w:rsidRPr="00562769">
        <w:rPr>
          <w:rFonts w:ascii="Garamond" w:eastAsia="Calibri" w:hAnsi="Garamond" w:cs="Times New Roman"/>
          <w:i/>
          <w:sz w:val="24"/>
          <w:szCs w:val="24"/>
        </w:rPr>
        <w:t>Artikel 11</w:t>
      </w:r>
    </w:p>
    <w:p w14:paraId="686C9EA3"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De raad van toezicht ziet er op toe dat de organisatie doelstellingen formuleert, de beoogde resultaten behaalt en dat op een correcte wijze realiseert. Artikel 10 geeft aan met behulp van welke instrumenten op dat gehele proces toezicht houdt. Namelijk door:</w:t>
      </w:r>
    </w:p>
    <w:p w14:paraId="2A0ED392" w14:textId="77777777" w:rsidR="00562769" w:rsidRPr="00562769" w:rsidRDefault="00562769" w:rsidP="00562769">
      <w:pPr>
        <w:numPr>
          <w:ilvl w:val="0"/>
          <w:numId w:val="8"/>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beleidsvoornemens en besluiten te beoordelen;</w:t>
      </w:r>
    </w:p>
    <w:p w14:paraId="15D7414A" w14:textId="77777777" w:rsidR="00562769" w:rsidRPr="00562769" w:rsidRDefault="00562769" w:rsidP="00562769">
      <w:pPr>
        <w:numPr>
          <w:ilvl w:val="0"/>
          <w:numId w:val="8"/>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overleg met het college van bestuur te voeren;</w:t>
      </w:r>
    </w:p>
    <w:p w14:paraId="7DF05EAA" w14:textId="77777777" w:rsidR="00562769" w:rsidRPr="00562769" w:rsidRDefault="00562769" w:rsidP="00562769">
      <w:pPr>
        <w:numPr>
          <w:ilvl w:val="0"/>
          <w:numId w:val="8"/>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informatie te verzamelen en te beoordelen; en</w:t>
      </w:r>
    </w:p>
    <w:p w14:paraId="096C9519" w14:textId="77777777" w:rsidR="00562769" w:rsidRPr="00562769" w:rsidRDefault="00562769" w:rsidP="00562769">
      <w:pPr>
        <w:numPr>
          <w:ilvl w:val="0"/>
          <w:numId w:val="8"/>
        </w:num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lastRenderedPageBreak/>
        <w:t>periodiek met stakeholders te spreken over het functioneren van de stichting en de scholen.</w:t>
      </w:r>
    </w:p>
    <w:p w14:paraId="25A0A4F1"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1EE4889F" w14:textId="77777777" w:rsidR="00562769" w:rsidRPr="00562769" w:rsidRDefault="00562769" w:rsidP="00562769">
      <w:pPr>
        <w:autoSpaceDE w:val="0"/>
        <w:autoSpaceDN w:val="0"/>
        <w:adjustRightInd w:val="0"/>
        <w:spacing w:after="0" w:line="240" w:lineRule="auto"/>
        <w:rPr>
          <w:rFonts w:ascii="Garamond" w:eastAsia="Calibri" w:hAnsi="Garamond" w:cs="Times New Roman"/>
          <w:i/>
          <w:sz w:val="24"/>
          <w:szCs w:val="24"/>
        </w:rPr>
      </w:pPr>
      <w:r w:rsidRPr="00562769">
        <w:rPr>
          <w:rFonts w:ascii="Garamond" w:eastAsia="Calibri" w:hAnsi="Garamond" w:cs="Times New Roman"/>
          <w:i/>
          <w:sz w:val="24"/>
          <w:szCs w:val="24"/>
        </w:rPr>
        <w:t>Artikel 12</w:t>
      </w:r>
      <w:r w:rsidRPr="00562769">
        <w:rPr>
          <w:rFonts w:ascii="Garamond" w:eastAsia="Calibri" w:hAnsi="Garamond" w:cs="Times New Roman"/>
          <w:i/>
          <w:sz w:val="24"/>
          <w:szCs w:val="24"/>
        </w:rPr>
        <w:tab/>
        <w:t xml:space="preserve">Kaders voor de raad van toezicht </w:t>
      </w:r>
    </w:p>
    <w:p w14:paraId="4059F1C9"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 xml:space="preserve">Dit artikel geeft aan welke kaders voor de raad van toezicht relevant zijn bij het toepassen van de in artikel 10 genoemde instrumenten. Om een transparante toetsing te bevorderen, is het noodzakelijk dat indicatoren worden vastgesteld aan de hand waarvan de raad van toezicht tot zijn bevindingen komt over het functioneren van de stichting en de staat van het onderwijs op de scholen.  </w:t>
      </w:r>
    </w:p>
    <w:p w14:paraId="559D846F"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16EE7D0E"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Artikel  14</w:t>
      </w:r>
      <w:r w:rsidRPr="00562769">
        <w:rPr>
          <w:rFonts w:ascii="Garamond" w:eastAsia="Times New Roman" w:hAnsi="Garamond" w:cs="Times New Roman"/>
          <w:i/>
          <w:sz w:val="24"/>
          <w:szCs w:val="24"/>
          <w:lang w:eastAsia="nl-NL"/>
        </w:rPr>
        <w:tab/>
        <w:t>Strategisch beleidsplan</w:t>
      </w:r>
    </w:p>
    <w:p w14:paraId="564036AF"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De wet schrijft niet voor dat een strategisch beleidsplan moet worden vastgesteld. Niettemin verdient het aanbeveling intern met betrokkenen een proces te volgen dat tot een dergelijk meerjarenplan leidt. In de praktijk gebeurt dat reeds in veel situaties. Dit artikel bevat nadere regels over de inhoud en totstandkoming van een strategisch beleidsplan.</w:t>
      </w:r>
    </w:p>
    <w:p w14:paraId="787EC50B"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325A1F4C"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 xml:space="preserve">Artikel 16 </w:t>
      </w:r>
      <w:r w:rsidRPr="00562769">
        <w:rPr>
          <w:rFonts w:ascii="Garamond" w:eastAsia="Times New Roman" w:hAnsi="Garamond" w:cs="Times New Roman"/>
          <w:i/>
          <w:sz w:val="24"/>
          <w:szCs w:val="24"/>
          <w:lang w:eastAsia="nl-NL"/>
        </w:rPr>
        <w:tab/>
        <w:t>Overleg met MR/GMR en het managementteam</w:t>
      </w:r>
    </w:p>
    <w:p w14:paraId="466F7A74"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 xml:space="preserve">Het wetsvoorstel genoemd onder artikel 4 schrijft ook voor dat het intern toezichthoudend orgaan ten minste tweemaal per jaar met de MR c.q. GMR overleg voert. In dit artikel is geanticipeerd op deze komende wettelijke regeling. Daarnaast is het denkbaar dat bij de raad van toezicht de behoefte aanwezig is om periodiek met nog anderen uit de organisatie overleg te voeren. In artikel 15 is als mogelijk voorbeeld genoemd het overleg met een (eventueel aanwezig) managementteam. </w:t>
      </w:r>
    </w:p>
    <w:p w14:paraId="3DB997CC"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140136EB"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Artikel 18</w:t>
      </w:r>
      <w:r w:rsidRPr="00562769">
        <w:rPr>
          <w:rFonts w:ascii="Garamond" w:eastAsia="Times New Roman" w:hAnsi="Garamond" w:cs="Times New Roman"/>
          <w:i/>
          <w:sz w:val="24"/>
          <w:szCs w:val="24"/>
          <w:lang w:eastAsia="nl-NL"/>
        </w:rPr>
        <w:tab/>
        <w:t>Informeren Rijksinspectie</w:t>
      </w:r>
    </w:p>
    <w:p w14:paraId="0DA485A1"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Het informeren van en overleggen met de Rijksinspectie is ook een element, dat geregeld is in het wetsvoorstel genoemd onder artikel 4.</w:t>
      </w:r>
    </w:p>
    <w:p w14:paraId="7BA72410"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p>
    <w:p w14:paraId="561F6AF4" w14:textId="77777777" w:rsidR="00562769" w:rsidRPr="00562769" w:rsidRDefault="00562769" w:rsidP="00562769">
      <w:pPr>
        <w:spacing w:after="0" w:line="240" w:lineRule="auto"/>
        <w:rPr>
          <w:rFonts w:ascii="Garamond" w:eastAsia="Times New Roman" w:hAnsi="Garamond" w:cs="Times New Roman"/>
          <w:i/>
          <w:sz w:val="24"/>
          <w:szCs w:val="24"/>
          <w:lang w:eastAsia="nl-NL"/>
        </w:rPr>
      </w:pPr>
      <w:r w:rsidRPr="00562769">
        <w:rPr>
          <w:rFonts w:ascii="Garamond" w:eastAsia="Times New Roman" w:hAnsi="Garamond" w:cs="Times New Roman"/>
          <w:i/>
          <w:sz w:val="24"/>
          <w:szCs w:val="24"/>
          <w:lang w:eastAsia="nl-NL"/>
        </w:rPr>
        <w:t>Artikel 20</w:t>
      </w:r>
      <w:r w:rsidRPr="00562769">
        <w:rPr>
          <w:rFonts w:ascii="Garamond" w:eastAsia="Times New Roman" w:hAnsi="Garamond" w:cs="Times New Roman"/>
          <w:i/>
          <w:sz w:val="24"/>
          <w:szCs w:val="24"/>
          <w:lang w:eastAsia="nl-NL"/>
        </w:rPr>
        <w:tab/>
        <w:t>Adviseren</w:t>
      </w:r>
    </w:p>
    <w:p w14:paraId="0E56F746" w14:textId="77777777" w:rsidR="00562769" w:rsidRPr="00562769" w:rsidRDefault="00562769" w:rsidP="00562769">
      <w:pPr>
        <w:autoSpaceDE w:val="0"/>
        <w:autoSpaceDN w:val="0"/>
        <w:adjustRightInd w:val="0"/>
        <w:spacing w:after="0" w:line="240" w:lineRule="auto"/>
        <w:rPr>
          <w:rFonts w:ascii="Garamond" w:eastAsia="Calibri" w:hAnsi="Garamond" w:cs="Times New Roman"/>
          <w:sz w:val="24"/>
          <w:szCs w:val="24"/>
        </w:rPr>
      </w:pPr>
      <w:r w:rsidRPr="00562769">
        <w:rPr>
          <w:rFonts w:ascii="Garamond" w:eastAsia="Calibri" w:hAnsi="Garamond" w:cs="Times New Roman"/>
          <w:sz w:val="24"/>
          <w:szCs w:val="24"/>
        </w:rPr>
        <w:t xml:space="preserve">De wettelijke taak van de raad van toezicht om het college van bestuur met raad en advies bij te staan is in dit artikel in algemene zin uitgewerkt. Afhankelijk van de eigen situatie en behoeften kunnen de raad van toezicht en het college van bestuur dat op een eigen manier nader invullen en verwoorden in dit artikel. Zo kan afgesproken worden dat de leden van de raad van toezicht een bepaalde portefeuille (financiën, onderwijskwaliteit, juridische zaken etc.) toegewezen krijgen en met (een lid van) het college van bestuur over dat beleidsterrein sparren c.q. gevraagd of ongevraagd hun advies geven. Ook andere invullingen van die adviesrol zijn denkbaar. Een en ander kan in dit artikel zo nodig nader uitgewerkt worden. </w:t>
      </w:r>
    </w:p>
    <w:p w14:paraId="3958E9BC" w14:textId="77777777" w:rsidR="00F34D3F" w:rsidRDefault="00F34D3F" w:rsidP="00AC79FA">
      <w:pPr>
        <w:spacing w:line="360" w:lineRule="auto"/>
        <w:rPr>
          <w:b/>
        </w:rPr>
      </w:pPr>
      <w:bookmarkStart w:id="10" w:name="_GoBack"/>
      <w:bookmarkEnd w:id="10"/>
    </w:p>
    <w:sectPr w:rsidR="00F34D3F" w:rsidSect="00FF134F">
      <w:headerReference w:type="default" r:id="rId11"/>
      <w:headerReference w:type="first" r:id="rId12"/>
      <w:footerReference w:type="first" r:id="rId13"/>
      <w:type w:val="continuous"/>
      <w:pgSz w:w="11906" w:h="16838" w:code="9"/>
      <w:pgMar w:top="2977" w:right="1418" w:bottom="1418" w:left="1418" w:header="709" w:footer="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BAA0D" w14:textId="77777777" w:rsidR="008D38F0" w:rsidRDefault="008D38F0" w:rsidP="00D046F2">
      <w:pPr>
        <w:spacing w:after="0" w:line="240" w:lineRule="auto"/>
      </w:pPr>
      <w:r>
        <w:separator/>
      </w:r>
    </w:p>
  </w:endnote>
  <w:endnote w:type="continuationSeparator" w:id="0">
    <w:p w14:paraId="30A8436E" w14:textId="77777777" w:rsidR="008D38F0" w:rsidRDefault="008D38F0" w:rsidP="00D0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0E8B" w14:textId="1B144130" w:rsidR="00FF134F" w:rsidRDefault="00FF134F" w:rsidP="00FF134F">
    <w:pPr>
      <w:pStyle w:val="Voettekst"/>
      <w:tabs>
        <w:tab w:val="clear" w:pos="9072"/>
        <w:tab w:val="right" w:pos="10490"/>
      </w:tabs>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12F33" w14:textId="77777777" w:rsidR="008D38F0" w:rsidRDefault="008D38F0" w:rsidP="00D046F2">
      <w:pPr>
        <w:spacing w:after="0" w:line="240" w:lineRule="auto"/>
      </w:pPr>
      <w:r>
        <w:separator/>
      </w:r>
    </w:p>
  </w:footnote>
  <w:footnote w:type="continuationSeparator" w:id="0">
    <w:p w14:paraId="5ECF62FD" w14:textId="77777777" w:rsidR="008D38F0" w:rsidRDefault="008D38F0" w:rsidP="00D0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E854" w14:textId="77777777" w:rsidR="00D046F2" w:rsidRPr="00D046F2" w:rsidRDefault="004D07F4">
    <w:pPr>
      <w:pStyle w:val="Koptekst"/>
      <w:rPr>
        <w:lang w:val="en-US"/>
      </w:rPr>
    </w:pPr>
    <w:r>
      <w:rPr>
        <w:noProof/>
        <w:lang w:eastAsia="nl-NL"/>
      </w:rPr>
      <w:drawing>
        <wp:inline distT="0" distB="0" distL="0" distR="0" wp14:anchorId="1056E88C" wp14:editId="7123F3EF">
          <wp:extent cx="1895860" cy="609601"/>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860" cy="6096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0E6E" w14:textId="77777777" w:rsidR="00D046F2" w:rsidRDefault="000700B7">
    <w:pPr>
      <w:pStyle w:val="Koptekst"/>
    </w:pPr>
    <w:r>
      <w:rPr>
        <w:noProof/>
        <w:lang w:eastAsia="nl-NL"/>
      </w:rPr>
      <w:drawing>
        <wp:anchor distT="0" distB="0" distL="114300" distR="114300" simplePos="0" relativeHeight="251659264" behindDoc="0" locked="0" layoutInCell="1" allowOverlap="1" wp14:anchorId="0B52170E" wp14:editId="674B380B">
          <wp:simplePos x="0" y="0"/>
          <wp:positionH relativeFrom="page">
            <wp:posOffset>900430</wp:posOffset>
          </wp:positionH>
          <wp:positionV relativeFrom="page">
            <wp:posOffset>540385</wp:posOffset>
          </wp:positionV>
          <wp:extent cx="1897200" cy="608400"/>
          <wp:effectExtent l="0" t="0" r="825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p w14:paraId="10405ADF" w14:textId="77777777" w:rsidR="00D046F2" w:rsidRDefault="00D046F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0A1"/>
    <w:multiLevelType w:val="hybridMultilevel"/>
    <w:tmpl w:val="156AF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7AA"/>
    <w:multiLevelType w:val="hybridMultilevel"/>
    <w:tmpl w:val="BEAE9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14D74"/>
    <w:multiLevelType w:val="hybridMultilevel"/>
    <w:tmpl w:val="77FEB794"/>
    <w:lvl w:ilvl="0" w:tplc="CFC0B64E">
      <w:start w:val="3"/>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 w15:restartNumberingAfterBreak="0">
    <w:nsid w:val="257416F2"/>
    <w:multiLevelType w:val="hybridMultilevel"/>
    <w:tmpl w:val="F8D4919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F8586B"/>
    <w:multiLevelType w:val="hybridMultilevel"/>
    <w:tmpl w:val="AE265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1B3C48"/>
    <w:multiLevelType w:val="hybridMultilevel"/>
    <w:tmpl w:val="AD4A926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5A6E01AC"/>
    <w:multiLevelType w:val="hybridMultilevel"/>
    <w:tmpl w:val="5664B5A0"/>
    <w:lvl w:ilvl="0" w:tplc="0413000F">
      <w:start w:val="1"/>
      <w:numFmt w:val="decimal"/>
      <w:lvlText w:val="%1."/>
      <w:lvlJc w:val="left"/>
      <w:pPr>
        <w:tabs>
          <w:tab w:val="num" w:pos="720"/>
        </w:tabs>
        <w:ind w:left="720" w:hanging="360"/>
      </w:pPr>
      <w:rPr>
        <w:rFonts w:hint="default"/>
      </w:rPr>
    </w:lvl>
    <w:lvl w:ilvl="1" w:tplc="613833BC">
      <w:start w:val="1"/>
      <w:numFmt w:val="lowerLetter"/>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A24136C"/>
    <w:multiLevelType w:val="hybridMultilevel"/>
    <w:tmpl w:val="AA947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F1"/>
    <w:rsid w:val="000426AD"/>
    <w:rsid w:val="00064D7E"/>
    <w:rsid w:val="000700B7"/>
    <w:rsid w:val="000771B9"/>
    <w:rsid w:val="00081667"/>
    <w:rsid w:val="00093956"/>
    <w:rsid w:val="00096E56"/>
    <w:rsid w:val="000B48F2"/>
    <w:rsid w:val="000C4B22"/>
    <w:rsid w:val="000D18D4"/>
    <w:rsid w:val="00121545"/>
    <w:rsid w:val="001309FD"/>
    <w:rsid w:val="001368C8"/>
    <w:rsid w:val="001715DF"/>
    <w:rsid w:val="001C5470"/>
    <w:rsid w:val="001F5041"/>
    <w:rsid w:val="001F6445"/>
    <w:rsid w:val="002031F1"/>
    <w:rsid w:val="002613C4"/>
    <w:rsid w:val="002A6042"/>
    <w:rsid w:val="002B5160"/>
    <w:rsid w:val="00302E1A"/>
    <w:rsid w:val="00324B29"/>
    <w:rsid w:val="00334FEC"/>
    <w:rsid w:val="00337017"/>
    <w:rsid w:val="003468C3"/>
    <w:rsid w:val="003C0742"/>
    <w:rsid w:val="003C12B9"/>
    <w:rsid w:val="003D633D"/>
    <w:rsid w:val="00423423"/>
    <w:rsid w:val="00423765"/>
    <w:rsid w:val="00451BCE"/>
    <w:rsid w:val="00460F9F"/>
    <w:rsid w:val="00470E1F"/>
    <w:rsid w:val="00474584"/>
    <w:rsid w:val="004D07F4"/>
    <w:rsid w:val="004E004C"/>
    <w:rsid w:val="004F3750"/>
    <w:rsid w:val="005330E6"/>
    <w:rsid w:val="00562769"/>
    <w:rsid w:val="0058203A"/>
    <w:rsid w:val="00595FA1"/>
    <w:rsid w:val="005B288E"/>
    <w:rsid w:val="006011E4"/>
    <w:rsid w:val="00631689"/>
    <w:rsid w:val="00660FB4"/>
    <w:rsid w:val="006B043E"/>
    <w:rsid w:val="006B429A"/>
    <w:rsid w:val="006E0B03"/>
    <w:rsid w:val="00774DF3"/>
    <w:rsid w:val="007D2432"/>
    <w:rsid w:val="008136AA"/>
    <w:rsid w:val="00840746"/>
    <w:rsid w:val="008441B7"/>
    <w:rsid w:val="008512EE"/>
    <w:rsid w:val="00897FDF"/>
    <w:rsid w:val="008D1626"/>
    <w:rsid w:val="008D38F0"/>
    <w:rsid w:val="008E6AB3"/>
    <w:rsid w:val="00904947"/>
    <w:rsid w:val="0094093A"/>
    <w:rsid w:val="00942D4B"/>
    <w:rsid w:val="00961764"/>
    <w:rsid w:val="0099357E"/>
    <w:rsid w:val="00996CAD"/>
    <w:rsid w:val="00A00C5E"/>
    <w:rsid w:val="00A349FF"/>
    <w:rsid w:val="00A550B2"/>
    <w:rsid w:val="00A62136"/>
    <w:rsid w:val="00A653FE"/>
    <w:rsid w:val="00A857DF"/>
    <w:rsid w:val="00AB7D59"/>
    <w:rsid w:val="00AC79FA"/>
    <w:rsid w:val="00AD1617"/>
    <w:rsid w:val="00B4699D"/>
    <w:rsid w:val="00BD7FC2"/>
    <w:rsid w:val="00BF0674"/>
    <w:rsid w:val="00BF5BA2"/>
    <w:rsid w:val="00C149BA"/>
    <w:rsid w:val="00C42223"/>
    <w:rsid w:val="00C6645C"/>
    <w:rsid w:val="00C75E43"/>
    <w:rsid w:val="00CB0736"/>
    <w:rsid w:val="00CC5E29"/>
    <w:rsid w:val="00CC742D"/>
    <w:rsid w:val="00CD0813"/>
    <w:rsid w:val="00CF6B61"/>
    <w:rsid w:val="00D046F2"/>
    <w:rsid w:val="00D106C6"/>
    <w:rsid w:val="00D13DB7"/>
    <w:rsid w:val="00D64D09"/>
    <w:rsid w:val="00DA087A"/>
    <w:rsid w:val="00E51134"/>
    <w:rsid w:val="00E51272"/>
    <w:rsid w:val="00E548FC"/>
    <w:rsid w:val="00E86C2E"/>
    <w:rsid w:val="00E87F48"/>
    <w:rsid w:val="00EB2008"/>
    <w:rsid w:val="00F34D3F"/>
    <w:rsid w:val="00F57F1E"/>
    <w:rsid w:val="00F71DCC"/>
    <w:rsid w:val="00FE0702"/>
    <w:rsid w:val="00FE307B"/>
    <w:rsid w:val="00FE6E9E"/>
    <w:rsid w:val="00FF134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0749"/>
  <w15:docId w15:val="{BA216B42-B715-441B-8ADB-83C47771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3956"/>
  </w:style>
  <w:style w:type="paragraph" w:styleId="Kop2">
    <w:name w:val="heading 2"/>
    <w:basedOn w:val="Standaard"/>
    <w:link w:val="Kop2Char"/>
    <w:uiPriority w:val="9"/>
    <w:qFormat/>
    <w:rsid w:val="00CC5E29"/>
    <w:pPr>
      <w:spacing w:before="100" w:beforeAutospacing="1" w:after="100" w:afterAutospacing="1" w:line="240" w:lineRule="auto"/>
      <w:outlineLvl w:val="1"/>
    </w:pPr>
    <w:rPr>
      <w:rFonts w:asciiTheme="majorHAnsi" w:eastAsia="Times New Roman" w:hAnsiTheme="majorHAnsi" w:cs="Times New Roman"/>
      <w:b/>
      <w:bCs/>
      <w:szCs w:val="36"/>
      <w:lang w:val="en-US" w:eastAsia="nl-NL"/>
    </w:rPr>
  </w:style>
  <w:style w:type="paragraph" w:styleId="Kop3">
    <w:name w:val="heading 3"/>
    <w:basedOn w:val="Standaard"/>
    <w:next w:val="Standaard"/>
    <w:link w:val="Kop3Char"/>
    <w:qFormat/>
    <w:rsid w:val="00F34D3F"/>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5E29"/>
    <w:rPr>
      <w:rFonts w:asciiTheme="majorHAnsi" w:eastAsia="Times New Roman" w:hAnsiTheme="majorHAnsi" w:cs="Times New Roman"/>
      <w:b/>
      <w:bCs/>
      <w:sz w:val="28"/>
      <w:szCs w:val="36"/>
      <w:lang w:val="en-US" w:eastAsia="nl-NL"/>
    </w:rPr>
  </w:style>
  <w:style w:type="paragraph" w:styleId="Koptekst">
    <w:name w:val="header"/>
    <w:basedOn w:val="Standaard"/>
    <w:link w:val="KoptekstChar"/>
    <w:uiPriority w:val="99"/>
    <w:unhideWhenUsed/>
    <w:rsid w:val="00D046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46F2"/>
  </w:style>
  <w:style w:type="paragraph" w:styleId="Voettekst">
    <w:name w:val="footer"/>
    <w:basedOn w:val="Standaard"/>
    <w:link w:val="VoettekstChar"/>
    <w:uiPriority w:val="99"/>
    <w:unhideWhenUsed/>
    <w:rsid w:val="00D046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46F2"/>
  </w:style>
  <w:style w:type="paragraph" w:styleId="Ballontekst">
    <w:name w:val="Balloon Text"/>
    <w:basedOn w:val="Standaard"/>
    <w:link w:val="BallontekstChar"/>
    <w:uiPriority w:val="99"/>
    <w:semiHidden/>
    <w:unhideWhenUsed/>
    <w:rsid w:val="00D046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6F2"/>
    <w:rPr>
      <w:rFonts w:ascii="Tahoma" w:hAnsi="Tahoma" w:cs="Tahoma"/>
      <w:sz w:val="16"/>
      <w:szCs w:val="16"/>
    </w:rPr>
  </w:style>
  <w:style w:type="character" w:styleId="Tekstvantijdelijkeaanduiding">
    <w:name w:val="Placeholder Text"/>
    <w:basedOn w:val="Standaardalinea-lettertype"/>
    <w:uiPriority w:val="99"/>
    <w:semiHidden/>
    <w:rsid w:val="00996CAD"/>
    <w:rPr>
      <w:color w:val="808080"/>
    </w:rPr>
  </w:style>
  <w:style w:type="character" w:customStyle="1" w:styleId="Stijl1">
    <w:name w:val="Stijl1"/>
    <w:basedOn w:val="Standaardalinea-lettertype"/>
    <w:uiPriority w:val="1"/>
    <w:rsid w:val="00996CAD"/>
    <w:rPr>
      <w:sz w:val="24"/>
    </w:rPr>
  </w:style>
  <w:style w:type="character" w:customStyle="1" w:styleId="Stijl2">
    <w:name w:val="Stijl2"/>
    <w:basedOn w:val="Standaardalinea-lettertype"/>
    <w:uiPriority w:val="1"/>
    <w:rsid w:val="00096E56"/>
    <w:rPr>
      <w:rFonts w:asciiTheme="minorHAnsi" w:hAnsiTheme="minorHAnsi"/>
      <w:sz w:val="24"/>
    </w:rPr>
  </w:style>
  <w:style w:type="character" w:customStyle="1" w:styleId="Kop3Char">
    <w:name w:val="Kop 3 Char"/>
    <w:basedOn w:val="Standaardalinea-lettertype"/>
    <w:link w:val="Kop3"/>
    <w:rsid w:val="00F34D3F"/>
    <w:rPr>
      <w:rFonts w:ascii="Arial" w:eastAsia="Times New Roman" w:hAnsi="Arial" w:cs="Arial"/>
      <w:b/>
      <w:bCs/>
      <w:sz w:val="26"/>
      <w:szCs w:val="26"/>
      <w:lang w:eastAsia="nl-NL"/>
    </w:rPr>
  </w:style>
  <w:style w:type="paragraph" w:styleId="Plattetekstinspringen2">
    <w:name w:val="Body Text Indent 2"/>
    <w:basedOn w:val="Standaard"/>
    <w:link w:val="Plattetekstinspringen2Char"/>
    <w:rsid w:val="00F34D3F"/>
    <w:pPr>
      <w:widowControl w:val="0"/>
      <w:tabs>
        <w:tab w:val="left" w:pos="567"/>
        <w:tab w:val="left" w:pos="1134"/>
        <w:tab w:val="left" w:pos="1701"/>
      </w:tabs>
      <w:spacing w:after="0" w:line="312" w:lineRule="auto"/>
      <w:ind w:left="567" w:hanging="567"/>
    </w:pPr>
    <w:rPr>
      <w:rFonts w:ascii="Garamond" w:eastAsia="Times New Roman" w:hAnsi="Garamond" w:cs="Times New Roman"/>
      <w:snapToGrid w:val="0"/>
      <w:sz w:val="24"/>
      <w:szCs w:val="20"/>
      <w:lang w:eastAsia="nl-NL"/>
    </w:rPr>
  </w:style>
  <w:style w:type="character" w:customStyle="1" w:styleId="Plattetekstinspringen2Char">
    <w:name w:val="Platte tekst inspringen 2 Char"/>
    <w:basedOn w:val="Standaardalinea-lettertype"/>
    <w:link w:val="Plattetekstinspringen2"/>
    <w:rsid w:val="00F34D3F"/>
    <w:rPr>
      <w:rFonts w:ascii="Garamond" w:eastAsia="Times New Roman" w:hAnsi="Garamond" w:cs="Times New Roman"/>
      <w:snapToGrid w:val="0"/>
      <w:sz w:val="24"/>
      <w:szCs w:val="20"/>
      <w:lang w:eastAsia="nl-NL"/>
    </w:rPr>
  </w:style>
  <w:style w:type="paragraph" w:styleId="Lijstalinea">
    <w:name w:val="List Paragraph"/>
    <w:basedOn w:val="Standaard"/>
    <w:uiPriority w:val="34"/>
    <w:rsid w:val="00F34D3F"/>
    <w:pPr>
      <w:spacing w:after="0" w:line="240" w:lineRule="auto"/>
      <w:ind w:left="720"/>
      <w:contextualSpacing/>
    </w:pPr>
    <w:rPr>
      <w:rFonts w:ascii="Arial" w:eastAsia="Calibri" w:hAnsi="Arial" w:cs="Times New Roman"/>
      <w:sz w:val="20"/>
      <w:szCs w:val="20"/>
      <w:lang w:val="en-US"/>
    </w:rPr>
  </w:style>
  <w:style w:type="paragraph" w:customStyle="1" w:styleId="Default">
    <w:name w:val="Default"/>
    <w:rsid w:val="00F34D3F"/>
    <w:pPr>
      <w:autoSpaceDE w:val="0"/>
      <w:autoSpaceDN w:val="0"/>
      <w:adjustRightInd w:val="0"/>
      <w:spacing w:after="0" w:line="240" w:lineRule="auto"/>
    </w:pPr>
    <w:rPr>
      <w:rFonts w:ascii="Garamond" w:eastAsia="Times New Roman" w:hAnsi="Garamond" w:cs="Garamond"/>
      <w:color w:val="000000"/>
      <w:sz w:val="24"/>
      <w:szCs w:val="24"/>
      <w:lang w:eastAsia="nl-NL"/>
    </w:rPr>
  </w:style>
  <w:style w:type="paragraph" w:styleId="Geenafstand">
    <w:name w:val="No Spacing"/>
    <w:uiPriority w:val="1"/>
    <w:qFormat/>
    <w:rsid w:val="00C42223"/>
    <w:pPr>
      <w:spacing w:after="0" w:line="240" w:lineRule="auto"/>
    </w:pPr>
  </w:style>
  <w:style w:type="character" w:styleId="Verwijzingopmerking">
    <w:name w:val="annotation reference"/>
    <w:rsid w:val="00562769"/>
    <w:rPr>
      <w:sz w:val="16"/>
      <w:szCs w:val="16"/>
    </w:rPr>
  </w:style>
  <w:style w:type="paragraph" w:styleId="Tekstopmerking">
    <w:name w:val="annotation text"/>
    <w:basedOn w:val="Standaard"/>
    <w:link w:val="TekstopmerkingChar"/>
    <w:rsid w:val="00562769"/>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562769"/>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4391">
      <w:bodyDiv w:val="1"/>
      <w:marLeft w:val="0"/>
      <w:marRight w:val="0"/>
      <w:marTop w:val="0"/>
      <w:marBottom w:val="0"/>
      <w:divBdr>
        <w:top w:val="none" w:sz="0" w:space="0" w:color="auto"/>
        <w:left w:val="none" w:sz="0" w:space="0" w:color="auto"/>
        <w:bottom w:val="none" w:sz="0" w:space="0" w:color="auto"/>
        <w:right w:val="none" w:sz="0" w:space="0" w:color="auto"/>
      </w:divBdr>
    </w:div>
    <w:div w:id="115878496">
      <w:bodyDiv w:val="1"/>
      <w:marLeft w:val="0"/>
      <w:marRight w:val="0"/>
      <w:marTop w:val="0"/>
      <w:marBottom w:val="0"/>
      <w:divBdr>
        <w:top w:val="none" w:sz="0" w:space="0" w:color="auto"/>
        <w:left w:val="none" w:sz="0" w:space="0" w:color="auto"/>
        <w:bottom w:val="none" w:sz="0" w:space="0" w:color="auto"/>
        <w:right w:val="none" w:sz="0" w:space="0" w:color="auto"/>
      </w:divBdr>
    </w:div>
    <w:div w:id="427850818">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1055658499">
      <w:bodyDiv w:val="1"/>
      <w:marLeft w:val="0"/>
      <w:marRight w:val="0"/>
      <w:marTop w:val="0"/>
      <w:marBottom w:val="0"/>
      <w:divBdr>
        <w:top w:val="none" w:sz="0" w:space="0" w:color="auto"/>
        <w:left w:val="none" w:sz="0" w:space="0" w:color="auto"/>
        <w:bottom w:val="none" w:sz="0" w:space="0" w:color="auto"/>
        <w:right w:val="none" w:sz="0" w:space="0" w:color="auto"/>
      </w:divBdr>
    </w:div>
    <w:div w:id="1668511356">
      <w:bodyDiv w:val="1"/>
      <w:marLeft w:val="0"/>
      <w:marRight w:val="0"/>
      <w:marTop w:val="0"/>
      <w:marBottom w:val="0"/>
      <w:divBdr>
        <w:top w:val="none" w:sz="0" w:space="0" w:color="auto"/>
        <w:left w:val="none" w:sz="0" w:space="0" w:color="auto"/>
        <w:bottom w:val="none" w:sz="0" w:space="0" w:color="auto"/>
        <w:right w:val="none" w:sz="0" w:space="0" w:color="auto"/>
      </w:divBdr>
    </w:div>
    <w:div w:id="17962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5F13E680987449AAADAB4E1844137" ma:contentTypeVersion="1" ma:contentTypeDescription="Een nieuw document maken." ma:contentTypeScope="" ma:versionID="c77bd250e995c9a88b87f0f759c3a55d">
  <xsd:schema xmlns:xsd="http://www.w3.org/2001/XMLSchema" xmlns:xs="http://www.w3.org/2001/XMLSchema" xmlns:p="http://schemas.microsoft.com/office/2006/metadata/properties" xmlns:ns2="563365e8-3cc6-4974-902f-0038e1bc10c5" targetNamespace="http://schemas.microsoft.com/office/2006/metadata/properties" ma:root="true" ma:fieldsID="ab4fa2b71ad420cf3a115e0b5f475398" ns2:_="">
    <xsd:import namespace="563365e8-3cc6-4974-902f-0038e1bc10c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365e8-3cc6-4974-902f-0038e1bc10c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583230F4-801B-4A78-948C-8052B116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365e8-3cc6-4974-902f-0038e1bc1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CCE4B-45FC-411C-8CDB-B1BBAC367F48}">
  <ds:schemaRefs>
    <ds:schemaRef ds:uri="http://schemas.microsoft.com/sharepoint/v3/contenttype/forms"/>
  </ds:schemaRefs>
</ds:datastoreItem>
</file>

<file path=customXml/itemProps3.xml><?xml version="1.0" encoding="utf-8"?>
<ds:datastoreItem xmlns:ds="http://schemas.openxmlformats.org/officeDocument/2006/customXml" ds:itemID="{841D103B-F0B2-48B3-A5EF-F8417B15ACEF}">
  <ds:schemaRefs>
    <ds:schemaRef ds:uri="http://schemas.microsoft.com/office/2006/metadata/properties"/>
  </ds:schemaRefs>
</ds:datastoreItem>
</file>

<file path=customXml/itemProps4.xml><?xml version="1.0" encoding="utf-8"?>
<ds:datastoreItem xmlns:ds="http://schemas.openxmlformats.org/officeDocument/2006/customXml" ds:itemID="{DF24B60F-5C2B-4599-8D54-0FE8528C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3197</Words>
  <Characters>17585</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Juliëtte Krotje</dc:creator>
  <cp:lastModifiedBy>Sjoerd Smits</cp:lastModifiedBy>
  <cp:revision>2</cp:revision>
  <dcterms:created xsi:type="dcterms:W3CDTF">2016-02-26T12:55:00Z</dcterms:created>
  <dcterms:modified xsi:type="dcterms:W3CDTF">2016-02-26T12:55:00Z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0x01010019C5F13E680987449AAADAB4E1844137</vt:lpwstr>
  </property>
  <property fmtid="{D5CDD505-2E9C-101B-9397-08002B2CF9AE}" pid="3" name="FileLeafRef">
    <vt:lpwstr>Brief kleur.dotx</vt:lpwstr>
  </property>
</Properties>
</file>